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黑体" w:hAnsi="黑体" w:eastAsia="黑体" w:cs="宋体"/>
          <w:color w:val="333333"/>
          <w:sz w:val="32"/>
          <w:szCs w:val="32"/>
        </w:rPr>
      </w:pPr>
      <w:r>
        <w:rPr>
          <w:rFonts w:hint="eastAsia" w:ascii="黑体" w:hAnsi="黑体" w:eastAsia="黑体" w:cs="宋体"/>
          <w:color w:val="333333"/>
          <w:sz w:val="32"/>
          <w:szCs w:val="32"/>
        </w:rPr>
        <w:t>附件7：</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bookmarkStart w:id="0" w:name="_Hlk70355250"/>
      <w:r>
        <w:rPr>
          <w:rFonts w:hint="eastAsia" w:ascii="方正小标宋_GBK" w:hAnsi="华文中宋" w:eastAsia="方正小标宋_GBK" w:cs="宋体"/>
          <w:b/>
          <w:kern w:val="0"/>
          <w:sz w:val="48"/>
          <w:szCs w:val="48"/>
        </w:rPr>
        <w:t>伊犁州中共特克斯县委员会党校部门单位整体支出绩效自评报告</w:t>
      </w:r>
    </w:p>
    <w:bookmarkEnd w:id="0"/>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部门单位名称（公章）：中共特克斯县委员会党校</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填报时间：</w:t>
      </w:r>
      <w:r>
        <w:rPr>
          <w:rFonts w:hAnsi="宋体" w:eastAsia="仿宋_GB2312" w:cs="宋体"/>
          <w:kern w:val="0"/>
          <w:sz w:val="36"/>
          <w:szCs w:val="36"/>
        </w:rPr>
        <w:t>2022</w:t>
      </w:r>
      <w:r>
        <w:rPr>
          <w:rFonts w:hint="eastAsia" w:hAnsi="宋体" w:eastAsia="仿宋_GB2312" w:cs="宋体"/>
          <w:kern w:val="0"/>
          <w:sz w:val="36"/>
          <w:szCs w:val="36"/>
        </w:rPr>
        <w:t xml:space="preserve"> 年4月25日</w:t>
      </w:r>
    </w:p>
    <w:p>
      <w:pPr>
        <w:pStyle w:val="5"/>
        <w:spacing w:line="360" w:lineRule="auto"/>
        <w:rPr>
          <w:rFonts w:ascii="仿宋" w:hAnsi="仿宋" w:eastAsia="仿宋"/>
          <w:sz w:val="36"/>
          <w:szCs w:val="36"/>
        </w:rPr>
      </w:pPr>
      <w:bookmarkStart w:id="1" w:name="_Toc70450289"/>
      <w:r>
        <w:rPr>
          <w:rFonts w:hint="eastAsia" w:ascii="仿宋" w:hAnsi="仿宋" w:eastAsia="仿宋"/>
          <w:sz w:val="36"/>
          <w:szCs w:val="36"/>
        </w:rPr>
        <w:t>一、基本概况</w:t>
      </w:r>
      <w:bookmarkEnd w:id="1"/>
    </w:p>
    <w:p>
      <w:pPr>
        <w:pStyle w:val="6"/>
        <w:spacing w:line="360" w:lineRule="auto"/>
        <w:rPr>
          <w:rStyle w:val="19"/>
          <w:rFonts w:ascii="仿宋" w:hAnsi="仿宋" w:eastAsia="仿宋"/>
          <w:b/>
          <w:bCs/>
        </w:rPr>
      </w:pPr>
      <w:bookmarkStart w:id="2" w:name="_Toc70450290"/>
      <w:r>
        <w:rPr>
          <w:rStyle w:val="19"/>
          <w:rFonts w:hint="eastAsia" w:ascii="仿宋" w:hAnsi="仿宋" w:eastAsia="仿宋"/>
          <w:b/>
          <w:bCs/>
        </w:rPr>
        <w:t>（一）部门单位基本情况</w:t>
      </w:r>
      <w:bookmarkEnd w:id="2"/>
    </w:p>
    <w:p>
      <w:pPr>
        <w:spacing w:line="560" w:lineRule="exact"/>
        <w:ind w:firstLine="537"/>
        <w:rPr>
          <w:rStyle w:val="19"/>
          <w:rFonts w:ascii="仿宋" w:hAnsi="仿宋" w:eastAsia="仿宋"/>
          <w:sz w:val="28"/>
          <w:szCs w:val="28"/>
        </w:rPr>
      </w:pPr>
      <w:bookmarkStart w:id="3" w:name="_Toc70450291"/>
      <w:r>
        <w:rPr>
          <w:rStyle w:val="19"/>
          <w:rFonts w:hint="eastAsia" w:ascii="仿宋" w:hAnsi="仿宋" w:eastAsia="仿宋"/>
          <w:sz w:val="28"/>
          <w:szCs w:val="28"/>
        </w:rPr>
        <w:t>1、主要职</w:t>
      </w:r>
      <w:bookmarkEnd w:id="3"/>
      <w:r>
        <w:rPr>
          <w:rStyle w:val="19"/>
          <w:rFonts w:hint="eastAsia" w:ascii="仿宋" w:hAnsi="仿宋" w:eastAsia="仿宋"/>
          <w:sz w:val="28"/>
          <w:szCs w:val="28"/>
        </w:rPr>
        <w:t>能：</w:t>
      </w:r>
    </w:p>
    <w:p>
      <w:pPr>
        <w:spacing w:line="360" w:lineRule="auto"/>
        <w:ind w:firstLine="544" w:firstLineChars="200"/>
        <w:rPr>
          <w:rStyle w:val="19"/>
          <w:rFonts w:ascii="仿宋_GB2312" w:hAnsi="楷体" w:eastAsia="仿宋_GB2312" w:cs="Times New Roman"/>
          <w:b w:val="0"/>
          <w:spacing w:val="-4"/>
          <w:sz w:val="28"/>
          <w:szCs w:val="28"/>
        </w:rPr>
      </w:pPr>
      <w:r>
        <w:rPr>
          <w:rStyle w:val="19"/>
          <w:rFonts w:hint="eastAsia" w:ascii="仿宋_GB2312" w:hAnsi="楷体" w:eastAsia="仿宋_GB2312" w:cs="Times New Roman"/>
          <w:b w:val="0"/>
          <w:spacing w:val="-4"/>
          <w:sz w:val="28"/>
          <w:szCs w:val="28"/>
        </w:rPr>
        <w:t>1.宣传贯彻党的路线、方针、政策，坚持正确的办学方向；</w:t>
      </w:r>
    </w:p>
    <w:p>
      <w:pPr>
        <w:spacing w:line="360" w:lineRule="auto"/>
        <w:ind w:firstLine="544" w:firstLineChars="200"/>
        <w:rPr>
          <w:rStyle w:val="19"/>
          <w:rFonts w:ascii="仿宋_GB2312" w:hAnsi="楷体" w:eastAsia="仿宋_GB2312" w:cs="Times New Roman"/>
          <w:b w:val="0"/>
          <w:spacing w:val="-4"/>
          <w:sz w:val="28"/>
          <w:szCs w:val="28"/>
        </w:rPr>
      </w:pPr>
      <w:r>
        <w:rPr>
          <w:rStyle w:val="19"/>
          <w:rFonts w:hint="eastAsia" w:ascii="仿宋_GB2312" w:hAnsi="楷体" w:eastAsia="仿宋_GB2312" w:cs="Times New Roman"/>
          <w:b w:val="0"/>
          <w:spacing w:val="-4"/>
          <w:sz w:val="28"/>
          <w:szCs w:val="28"/>
        </w:rPr>
        <w:t>2.负责党的理论研讨工作，指导干部学习党的理论;</w:t>
      </w:r>
    </w:p>
    <w:p>
      <w:pPr>
        <w:spacing w:line="360" w:lineRule="auto"/>
        <w:ind w:firstLine="544" w:firstLineChars="200"/>
        <w:rPr>
          <w:rStyle w:val="19"/>
          <w:rFonts w:ascii="仿宋_GB2312" w:hAnsi="楷体" w:eastAsia="仿宋_GB2312" w:cs="Times New Roman"/>
          <w:b w:val="0"/>
          <w:spacing w:val="-4"/>
          <w:sz w:val="28"/>
          <w:szCs w:val="28"/>
        </w:rPr>
      </w:pPr>
      <w:r>
        <w:rPr>
          <w:rStyle w:val="19"/>
          <w:rFonts w:hint="eastAsia" w:ascii="仿宋_GB2312" w:hAnsi="楷体" w:eastAsia="仿宋_GB2312" w:cs="Times New Roman"/>
          <w:b w:val="0"/>
          <w:spacing w:val="-4"/>
          <w:sz w:val="28"/>
          <w:szCs w:val="28"/>
        </w:rPr>
        <w:t>3.组织实施全县各级党员干部培训、轮训，负责开展党建理论研究工作；</w:t>
      </w:r>
    </w:p>
    <w:p>
      <w:pPr>
        <w:spacing w:line="360" w:lineRule="auto"/>
        <w:ind w:firstLine="544" w:firstLineChars="200"/>
        <w:rPr>
          <w:rStyle w:val="19"/>
          <w:rFonts w:ascii="仿宋_GB2312" w:hAnsi="楷体" w:eastAsia="仿宋_GB2312" w:cs="Times New Roman"/>
          <w:b w:val="0"/>
          <w:spacing w:val="-4"/>
          <w:sz w:val="28"/>
          <w:szCs w:val="28"/>
        </w:rPr>
      </w:pPr>
      <w:r>
        <w:rPr>
          <w:rStyle w:val="19"/>
          <w:rFonts w:hint="eastAsia" w:ascii="仿宋_GB2312" w:hAnsi="楷体" w:eastAsia="仿宋_GB2312" w:cs="Times New Roman"/>
          <w:b w:val="0"/>
          <w:spacing w:val="-4"/>
          <w:sz w:val="28"/>
          <w:szCs w:val="28"/>
        </w:rPr>
        <w:t>4.完成县委交办的其他工作</w:t>
      </w:r>
      <w:bookmarkStart w:id="4" w:name="_Toc70450292"/>
    </w:p>
    <w:p>
      <w:pPr>
        <w:spacing w:line="560" w:lineRule="exact"/>
        <w:ind w:firstLine="537"/>
        <w:rPr>
          <w:rStyle w:val="19"/>
          <w:rFonts w:ascii="仿宋" w:hAnsi="仿宋" w:eastAsia="仿宋"/>
          <w:sz w:val="28"/>
          <w:szCs w:val="28"/>
        </w:rPr>
      </w:pPr>
      <w:r>
        <w:rPr>
          <w:rStyle w:val="19"/>
          <w:rFonts w:hint="eastAsia" w:ascii="仿宋" w:hAnsi="仿宋" w:eastAsia="仿宋"/>
          <w:sz w:val="28"/>
          <w:szCs w:val="28"/>
        </w:rPr>
        <w:t>2、机构人员构成</w:t>
      </w:r>
      <w:bookmarkEnd w:id="4"/>
    </w:p>
    <w:p>
      <w:pPr>
        <w:spacing w:line="360" w:lineRule="auto"/>
        <w:ind w:firstLine="544" w:firstLineChars="200"/>
        <w:rPr>
          <w:rStyle w:val="19"/>
          <w:rFonts w:asciiTheme="minorEastAsia" w:hAnsiTheme="minorEastAsia"/>
          <w:bCs w:val="0"/>
          <w:color w:val="FF0000"/>
          <w:spacing w:val="-4"/>
          <w:sz w:val="28"/>
          <w:szCs w:val="28"/>
        </w:rPr>
      </w:pPr>
      <w:r>
        <w:rPr>
          <w:rStyle w:val="19"/>
          <w:rFonts w:hint="eastAsia" w:ascii="仿宋_GB2312" w:hAnsi="楷体" w:eastAsia="仿宋_GB2312"/>
          <w:b w:val="0"/>
          <w:spacing w:val="-4"/>
          <w:sz w:val="28"/>
          <w:szCs w:val="28"/>
        </w:rPr>
        <w:t>（1）组织机构设置：</w:t>
      </w:r>
    </w:p>
    <w:p>
      <w:pPr>
        <w:widowControl/>
        <w:spacing w:line="580" w:lineRule="exact"/>
        <w:ind w:firstLine="640"/>
        <w:jc w:val="left"/>
        <w:rPr>
          <w:rStyle w:val="19"/>
          <w:rFonts w:asciiTheme="minorEastAsia" w:hAnsiTheme="minorEastAsia"/>
          <w:bCs w:val="0"/>
          <w:color w:val="FF0000"/>
          <w:spacing w:val="-4"/>
          <w:sz w:val="28"/>
          <w:szCs w:val="28"/>
        </w:rPr>
      </w:pPr>
      <w:r>
        <w:rPr>
          <w:rStyle w:val="19"/>
          <w:rFonts w:hint="eastAsia" w:ascii="仿宋_GB2312" w:hAnsi="楷体" w:eastAsia="仿宋_GB2312"/>
          <w:b w:val="0"/>
          <w:spacing w:val="-4"/>
          <w:sz w:val="28"/>
          <w:szCs w:val="28"/>
        </w:rPr>
        <w:t>中共特克斯县委员会党校无下属预算单位，下设2个科室，分别是：办公室和教务处。</w:t>
      </w:r>
    </w:p>
    <w:p>
      <w:pPr>
        <w:spacing w:line="360" w:lineRule="auto"/>
        <w:ind w:firstLine="544" w:firstLineChars="200"/>
        <w:rPr>
          <w:rStyle w:val="19"/>
          <w:rFonts w:ascii="仿宋_GB2312" w:hAnsi="楷体" w:eastAsia="仿宋_GB2312"/>
          <w:b w:val="0"/>
          <w:spacing w:val="-4"/>
          <w:sz w:val="28"/>
          <w:szCs w:val="28"/>
        </w:rPr>
      </w:pPr>
      <w:r>
        <w:rPr>
          <w:rStyle w:val="19"/>
          <w:rFonts w:hint="eastAsia" w:ascii="仿宋_GB2312" w:hAnsi="楷体" w:eastAsia="仿宋_GB2312"/>
          <w:b w:val="0"/>
          <w:spacing w:val="-4"/>
          <w:sz w:val="28"/>
          <w:szCs w:val="28"/>
        </w:rPr>
        <w:t>（2）2021年中共特克斯县委员会党校实有在职人员为18人，其中：</w:t>
      </w:r>
    </w:p>
    <w:p>
      <w:pPr>
        <w:spacing w:line="360" w:lineRule="auto"/>
        <w:ind w:firstLine="544" w:firstLineChars="200"/>
        <w:rPr>
          <w:rStyle w:val="19"/>
          <w:rFonts w:ascii="仿宋_GB2312" w:hAnsi="楷体" w:eastAsia="仿宋_GB2312"/>
          <w:b w:val="0"/>
          <w:spacing w:val="-4"/>
          <w:sz w:val="28"/>
          <w:szCs w:val="28"/>
        </w:rPr>
      </w:pPr>
      <w:r>
        <w:rPr>
          <w:rStyle w:val="19"/>
          <w:rFonts w:hint="eastAsia" w:ascii="仿宋_GB2312" w:hAnsi="楷体" w:eastAsia="仿宋_GB2312"/>
          <w:b w:val="0"/>
          <w:spacing w:val="-4"/>
          <w:sz w:val="28"/>
          <w:szCs w:val="28"/>
        </w:rPr>
        <w:t>行政在职4人（上年5人），同比上年减少1人；</w:t>
      </w:r>
    </w:p>
    <w:p>
      <w:pPr>
        <w:spacing w:line="360" w:lineRule="auto"/>
        <w:ind w:firstLine="544" w:firstLineChars="200"/>
        <w:rPr>
          <w:rStyle w:val="19"/>
          <w:rFonts w:ascii="仿宋_GB2312" w:hAnsi="楷体" w:eastAsia="仿宋_GB2312"/>
          <w:b w:val="0"/>
          <w:spacing w:val="-4"/>
          <w:sz w:val="28"/>
          <w:szCs w:val="28"/>
        </w:rPr>
      </w:pPr>
      <w:r>
        <w:rPr>
          <w:rStyle w:val="19"/>
          <w:rFonts w:hint="eastAsia" w:ascii="仿宋_GB2312" w:hAnsi="楷体" w:eastAsia="仿宋_GB2312"/>
          <w:b w:val="0"/>
          <w:spacing w:val="-4"/>
          <w:sz w:val="28"/>
          <w:szCs w:val="28"/>
        </w:rPr>
        <w:t>事业在职14人（上年10人），同比上年增加4人。</w:t>
      </w:r>
    </w:p>
    <w:p>
      <w:pPr>
        <w:spacing w:line="360" w:lineRule="auto"/>
        <w:ind w:firstLine="544" w:firstLineChars="200"/>
        <w:rPr>
          <w:rStyle w:val="19"/>
          <w:rFonts w:ascii="仿宋_GB2312" w:hAnsi="楷体" w:eastAsia="仿宋_GB2312"/>
          <w:b w:val="0"/>
          <w:spacing w:val="-4"/>
          <w:sz w:val="28"/>
          <w:szCs w:val="28"/>
        </w:rPr>
      </w:pPr>
      <w:r>
        <w:rPr>
          <w:rStyle w:val="19"/>
          <w:rFonts w:hint="eastAsia" w:ascii="仿宋_GB2312" w:hAnsi="楷体" w:eastAsia="仿宋_GB2312"/>
          <w:b w:val="0"/>
          <w:spacing w:val="-4"/>
          <w:sz w:val="28"/>
          <w:szCs w:val="28"/>
        </w:rPr>
        <w:t>实有离休人员0人（上年0人）,与上年一致；</w:t>
      </w:r>
    </w:p>
    <w:p>
      <w:pPr>
        <w:spacing w:line="360" w:lineRule="auto"/>
        <w:ind w:firstLine="544" w:firstLineChars="200"/>
        <w:rPr>
          <w:rStyle w:val="19"/>
          <w:rFonts w:ascii="仿宋_GB2312" w:hAnsi="楷体" w:eastAsia="仿宋_GB2312"/>
          <w:b w:val="0"/>
          <w:spacing w:val="-4"/>
          <w:sz w:val="28"/>
          <w:szCs w:val="28"/>
        </w:rPr>
      </w:pPr>
      <w:r>
        <w:rPr>
          <w:rStyle w:val="19"/>
          <w:rFonts w:hint="eastAsia" w:ascii="仿宋_GB2312" w:hAnsi="楷体" w:eastAsia="仿宋_GB2312"/>
          <w:b w:val="0"/>
          <w:spacing w:val="-4"/>
          <w:sz w:val="28"/>
          <w:szCs w:val="28"/>
        </w:rPr>
        <w:t>实有退休人员15人（上年14人）,同比上年增加1人。</w:t>
      </w:r>
    </w:p>
    <w:p>
      <w:pPr>
        <w:pStyle w:val="7"/>
        <w:numPr>
          <w:ilvl w:val="0"/>
          <w:numId w:val="1"/>
        </w:numPr>
        <w:spacing w:line="360" w:lineRule="auto"/>
        <w:ind w:firstLine="562" w:firstLineChars="200"/>
        <w:rPr>
          <w:rStyle w:val="19"/>
          <w:rFonts w:ascii="仿宋" w:hAnsi="仿宋" w:eastAsia="仿宋"/>
          <w:b/>
          <w:bCs/>
        </w:rPr>
      </w:pPr>
      <w:bookmarkStart w:id="5" w:name="_Toc70450293"/>
      <w:r>
        <w:rPr>
          <w:rStyle w:val="19"/>
          <w:rFonts w:hint="eastAsia" w:ascii="仿宋" w:hAnsi="仿宋" w:eastAsia="仿宋"/>
          <w:b/>
          <w:bCs/>
        </w:rPr>
        <w:t>重点工作计划</w:t>
      </w:r>
      <w:bookmarkEnd w:id="5"/>
    </w:p>
    <w:p>
      <w:pPr>
        <w:spacing w:line="360" w:lineRule="auto"/>
        <w:ind w:firstLine="562" w:firstLineChars="200"/>
        <w:rPr>
          <w:rStyle w:val="19"/>
          <w:rFonts w:ascii="仿宋_GB2312" w:hAnsi="楷体" w:eastAsia="仿宋_GB2312" w:cs="Times New Roman"/>
          <w:b w:val="0"/>
          <w:spacing w:val="-4"/>
          <w:sz w:val="28"/>
          <w:szCs w:val="28"/>
        </w:rPr>
      </w:pPr>
      <w:r>
        <w:rPr>
          <w:rStyle w:val="19"/>
          <w:rFonts w:hint="eastAsia" w:ascii="仿宋" w:hAnsi="仿宋" w:eastAsia="仿宋" w:cs="Times New Roman"/>
          <w:sz w:val="28"/>
          <w:szCs w:val="28"/>
        </w:rPr>
        <w:t>发挥阵地作用。</w:t>
      </w:r>
      <w:r>
        <w:rPr>
          <w:rStyle w:val="19"/>
          <w:rFonts w:hint="eastAsia" w:ascii="仿宋_GB2312" w:hAnsi="楷体" w:eastAsia="仿宋_GB2312" w:cs="Times New Roman"/>
          <w:b w:val="0"/>
          <w:spacing w:val="-4"/>
          <w:sz w:val="28"/>
          <w:szCs w:val="28"/>
        </w:rPr>
        <w:t>把习近平新时代中国特色社会主义思想作为党校教师宣讲主题，通过“进机关、进企业、进农村、进社区、进学校”等形式，深入基层开展送党课理论宣讲活动。今年以来，我校分别在1月和7月，选派了4名骨干教师，和宣传部组成两个宣讲团，开展送课下基层、进机关（村、社区）等专题宣讲活动，宣讲内容包括十九届五中全会、第三次中央新疆工作座谈会、民法典、党史、习总书记“七一”重要讲话精神，共宣讲32场次，听课干部群众达2000余人，宣讲达到预期效果。</w:t>
      </w:r>
    </w:p>
    <w:p/>
    <w:p>
      <w:pPr>
        <w:pStyle w:val="6"/>
        <w:spacing w:line="360" w:lineRule="auto"/>
        <w:rPr>
          <w:rStyle w:val="19"/>
          <w:rFonts w:ascii="仿宋" w:hAnsi="仿宋" w:eastAsia="仿宋"/>
          <w:b/>
          <w:bCs/>
          <w:sz w:val="28"/>
          <w:szCs w:val="28"/>
        </w:rPr>
      </w:pPr>
      <w:bookmarkStart w:id="6" w:name="_Toc70450294"/>
      <w:r>
        <w:rPr>
          <w:rStyle w:val="19"/>
          <w:rFonts w:hint="eastAsia" w:ascii="仿宋" w:hAnsi="仿宋" w:eastAsia="仿宋"/>
          <w:b/>
          <w:bCs/>
          <w:sz w:val="28"/>
          <w:szCs w:val="28"/>
        </w:rPr>
        <w:t>（二）部门单位整体支出规模、</w:t>
      </w:r>
      <w:bookmarkStart w:id="7" w:name="_Hlk70339807"/>
      <w:r>
        <w:rPr>
          <w:rStyle w:val="19"/>
          <w:rFonts w:hint="eastAsia" w:ascii="仿宋" w:hAnsi="仿宋" w:eastAsia="仿宋"/>
          <w:b/>
          <w:bCs/>
          <w:sz w:val="28"/>
          <w:szCs w:val="28"/>
        </w:rPr>
        <w:t>使用方法和主要内容、涉及对象及范围等</w:t>
      </w:r>
      <w:bookmarkEnd w:id="6"/>
    </w:p>
    <w:bookmarkEnd w:id="7"/>
    <w:p>
      <w:pPr>
        <w:pStyle w:val="7"/>
        <w:spacing w:line="360" w:lineRule="auto"/>
        <w:ind w:firstLine="562" w:firstLineChars="200"/>
        <w:rPr>
          <w:rStyle w:val="19"/>
          <w:rFonts w:ascii="宋体" w:hAnsi="宋体" w:eastAsia="宋体"/>
          <w:b/>
          <w:bCs/>
          <w:color w:val="FF0000"/>
          <w:spacing w:val="-4"/>
        </w:rPr>
      </w:pPr>
      <w:bookmarkStart w:id="8" w:name="_Toc70450295"/>
      <w:r>
        <w:rPr>
          <w:rStyle w:val="19"/>
          <w:rFonts w:hint="eastAsia" w:ascii="仿宋" w:hAnsi="仿宋" w:eastAsia="仿宋"/>
          <w:b/>
          <w:bCs/>
        </w:rPr>
        <w:t>1、部门单位整体支出规模</w:t>
      </w:r>
      <w:bookmarkEnd w:id="8"/>
    </w:p>
    <w:p>
      <w:pPr>
        <w:spacing w:line="360" w:lineRule="auto"/>
        <w:ind w:firstLine="544" w:firstLineChars="200"/>
        <w:rPr>
          <w:rStyle w:val="19"/>
          <w:rFonts w:ascii="仿宋_GB2312" w:hAnsi="楷体" w:eastAsia="仿宋_GB2312"/>
          <w:b w:val="0"/>
          <w:spacing w:val="-4"/>
          <w:sz w:val="28"/>
          <w:szCs w:val="28"/>
        </w:rPr>
      </w:pPr>
      <w:r>
        <w:rPr>
          <w:rStyle w:val="19"/>
          <w:rFonts w:hint="eastAsia" w:ascii="仿宋_GB2312" w:hAnsi="楷体" w:eastAsia="仿宋_GB2312"/>
          <w:b w:val="0"/>
          <w:spacing w:val="-4"/>
          <w:sz w:val="28"/>
          <w:szCs w:val="28"/>
        </w:rPr>
        <w:t>2021年批复我单位预算为365.14万元，其中：财政拨款为365.14万元。年中追加资金183.96万元，调整率101.53%，对比上年288.40万元增加76.74万元，上升26.61%。</w:t>
      </w:r>
    </w:p>
    <w:p>
      <w:pPr>
        <w:spacing w:line="360" w:lineRule="auto"/>
        <w:ind w:firstLine="544" w:firstLineChars="200"/>
        <w:rPr>
          <w:rStyle w:val="19"/>
          <w:rFonts w:ascii="仿宋_GB2312" w:hAnsi="楷体" w:eastAsia="仿宋_GB2312"/>
          <w:b w:val="0"/>
          <w:spacing w:val="-4"/>
          <w:sz w:val="28"/>
          <w:szCs w:val="28"/>
        </w:rPr>
      </w:pPr>
      <w:r>
        <w:rPr>
          <w:rStyle w:val="19"/>
          <w:rFonts w:hint="eastAsia" w:ascii="仿宋_GB2312" w:hAnsi="楷体" w:eastAsia="仿宋_GB2312"/>
          <w:b w:val="0"/>
          <w:spacing w:val="-4"/>
          <w:sz w:val="28"/>
          <w:szCs w:val="28"/>
        </w:rPr>
        <w:t>2021年实际决算支出365.14万元，执行率100%，其中：</w:t>
      </w:r>
    </w:p>
    <w:p>
      <w:pPr>
        <w:numPr>
          <w:ilvl w:val="0"/>
          <w:numId w:val="2"/>
        </w:numPr>
        <w:spacing w:line="360" w:lineRule="auto"/>
        <w:ind w:firstLine="544" w:firstLineChars="200"/>
        <w:rPr>
          <w:rStyle w:val="19"/>
          <w:rFonts w:ascii="仿宋_GB2312" w:hAnsi="楷体" w:eastAsia="仿宋_GB2312"/>
          <w:b w:val="0"/>
          <w:spacing w:val="-4"/>
          <w:sz w:val="28"/>
          <w:szCs w:val="28"/>
        </w:rPr>
      </w:pPr>
      <w:r>
        <w:rPr>
          <w:rStyle w:val="19"/>
          <w:rFonts w:hint="eastAsia" w:ascii="仿宋_GB2312" w:hAnsi="楷体" w:eastAsia="仿宋_GB2312"/>
          <w:b w:val="0"/>
          <w:spacing w:val="-4"/>
          <w:sz w:val="28"/>
          <w:szCs w:val="28"/>
        </w:rPr>
        <w:t>基本支出365.14万元，占总支出的100％，主要用于本单位机构正常运转、完成日常工作任务而发生的各项支出。其中：工资福利支出219.41万元，主要用于在职和离退休人员基本工资、津贴补贴等人员经费。商品和服务支出56.53万元，主要用于办公费、印刷费、水电费、办公设备购置等。对个人和家庭的补助13.63万元，主要用于</w:t>
      </w:r>
    </w:p>
    <w:p>
      <w:pPr>
        <w:spacing w:line="360" w:lineRule="auto"/>
        <w:rPr>
          <w:rStyle w:val="19"/>
          <w:rFonts w:ascii="仿宋_GB2312" w:hAnsi="楷体" w:eastAsia="仿宋_GB2312"/>
          <w:b w:val="0"/>
          <w:spacing w:val="-4"/>
          <w:sz w:val="28"/>
          <w:szCs w:val="28"/>
        </w:rPr>
      </w:pPr>
      <w:r>
        <w:rPr>
          <w:rStyle w:val="19"/>
          <w:rFonts w:hint="eastAsia" w:ascii="仿宋_GB2312" w:hAnsi="楷体" w:eastAsia="仿宋_GB2312"/>
          <w:b w:val="0"/>
          <w:spacing w:val="-4"/>
          <w:sz w:val="28"/>
          <w:szCs w:val="28"/>
        </w:rPr>
        <w:t xml:space="preserve">退休职工个人取暖费、抚恤金、退休人员计生津贴、奖励金。资本性支出75.57万元，主要用于2019年党校整体搬迁时的办公设备购置。 </w:t>
      </w:r>
    </w:p>
    <w:p>
      <w:pPr>
        <w:spacing w:line="360" w:lineRule="auto"/>
        <w:ind w:firstLine="544" w:firstLineChars="200"/>
        <w:rPr>
          <w:rStyle w:val="19"/>
          <w:rFonts w:ascii="仿宋_GB2312" w:hAnsi="楷体" w:eastAsia="仿宋_GB2312"/>
          <w:b w:val="0"/>
          <w:spacing w:val="-4"/>
          <w:sz w:val="28"/>
          <w:szCs w:val="28"/>
        </w:rPr>
      </w:pPr>
      <w:r>
        <w:rPr>
          <w:rStyle w:val="19"/>
          <w:rFonts w:hint="eastAsia" w:ascii="仿宋_GB2312" w:hAnsi="楷体" w:eastAsia="仿宋_GB2312"/>
          <w:b w:val="0"/>
          <w:spacing w:val="-4"/>
          <w:sz w:val="28"/>
          <w:szCs w:val="28"/>
        </w:rPr>
        <w:t>（</w:t>
      </w:r>
      <w:r>
        <w:rPr>
          <w:rStyle w:val="19"/>
          <w:rFonts w:ascii="仿宋_GB2312" w:hAnsi="楷体" w:eastAsia="仿宋_GB2312"/>
          <w:b w:val="0"/>
          <w:spacing w:val="-4"/>
          <w:sz w:val="28"/>
          <w:szCs w:val="28"/>
        </w:rPr>
        <w:t>2</w:t>
      </w:r>
      <w:r>
        <w:rPr>
          <w:rStyle w:val="19"/>
          <w:rFonts w:hint="eastAsia" w:ascii="仿宋_GB2312" w:hAnsi="楷体" w:eastAsia="仿宋_GB2312"/>
          <w:b w:val="0"/>
          <w:spacing w:val="-4"/>
          <w:sz w:val="28"/>
          <w:szCs w:val="28"/>
        </w:rPr>
        <w:t>）本年度我单位无项目支出。</w:t>
      </w:r>
    </w:p>
    <w:p>
      <w:pPr>
        <w:spacing w:line="360" w:lineRule="auto"/>
        <w:ind w:firstLine="544" w:firstLineChars="200"/>
        <w:rPr>
          <w:rStyle w:val="19"/>
          <w:rFonts w:eastAsia="仿宋_GB2312" w:asciiTheme="minorEastAsia" w:hAnsiTheme="minorEastAsia"/>
          <w:bCs w:val="0"/>
          <w:color w:val="FF0000"/>
          <w:spacing w:val="-4"/>
          <w:sz w:val="28"/>
          <w:szCs w:val="28"/>
        </w:rPr>
      </w:pPr>
      <w:r>
        <w:rPr>
          <w:rStyle w:val="19"/>
          <w:rFonts w:hint="eastAsia" w:ascii="仿宋_GB2312" w:hAnsi="楷体" w:eastAsia="仿宋_GB2312"/>
          <w:b w:val="0"/>
          <w:spacing w:val="-4"/>
          <w:sz w:val="28"/>
          <w:szCs w:val="28"/>
        </w:rPr>
        <w:t>（</w:t>
      </w:r>
      <w:r>
        <w:rPr>
          <w:rStyle w:val="19"/>
          <w:rFonts w:ascii="仿宋_GB2312" w:hAnsi="楷体" w:eastAsia="仿宋_GB2312"/>
          <w:b w:val="0"/>
          <w:spacing w:val="-4"/>
          <w:sz w:val="28"/>
          <w:szCs w:val="28"/>
        </w:rPr>
        <w:t>3</w:t>
      </w:r>
      <w:r>
        <w:rPr>
          <w:rStyle w:val="19"/>
          <w:rFonts w:hint="eastAsia" w:ascii="仿宋_GB2312" w:hAnsi="楷体" w:eastAsia="仿宋_GB2312"/>
          <w:b w:val="0"/>
          <w:spacing w:val="-4"/>
          <w:sz w:val="28"/>
          <w:szCs w:val="28"/>
        </w:rPr>
        <w:t>）本年度我单位无重点项目。</w:t>
      </w:r>
    </w:p>
    <w:p>
      <w:pPr>
        <w:spacing w:line="360" w:lineRule="auto"/>
        <w:ind w:firstLine="544" w:firstLineChars="200"/>
        <w:rPr>
          <w:rStyle w:val="19"/>
          <w:rFonts w:ascii="仿宋_GB2312" w:hAnsi="楷体" w:eastAsia="仿宋_GB2312"/>
          <w:b w:val="0"/>
          <w:spacing w:val="-4"/>
          <w:sz w:val="28"/>
          <w:szCs w:val="28"/>
        </w:rPr>
      </w:pPr>
      <w:r>
        <w:rPr>
          <w:rStyle w:val="19"/>
          <w:rFonts w:hint="eastAsia" w:ascii="仿宋_GB2312" w:hAnsi="楷体" w:eastAsia="仿宋_GB2312"/>
          <w:b w:val="0"/>
          <w:spacing w:val="-4"/>
          <w:sz w:val="28"/>
          <w:szCs w:val="28"/>
        </w:rPr>
        <w:t>（4）本年度我单位无政府采购预算。</w:t>
      </w:r>
    </w:p>
    <w:p>
      <w:pPr>
        <w:pStyle w:val="7"/>
        <w:spacing w:line="360" w:lineRule="auto"/>
        <w:ind w:firstLine="562" w:firstLineChars="200"/>
        <w:rPr>
          <w:rStyle w:val="19"/>
          <w:rFonts w:ascii="仿宋" w:hAnsi="仿宋" w:eastAsia="仿宋"/>
          <w:b/>
          <w:bCs/>
        </w:rPr>
      </w:pPr>
      <w:bookmarkStart w:id="9" w:name="_Toc70450296"/>
      <w:r>
        <w:rPr>
          <w:rStyle w:val="19"/>
          <w:rFonts w:ascii="仿宋" w:hAnsi="仿宋" w:eastAsia="仿宋"/>
          <w:b/>
          <w:bCs/>
        </w:rPr>
        <w:t>2</w:t>
      </w:r>
      <w:r>
        <w:rPr>
          <w:rStyle w:val="19"/>
          <w:rFonts w:hint="eastAsia" w:ascii="仿宋" w:hAnsi="仿宋" w:eastAsia="仿宋"/>
          <w:b/>
          <w:bCs/>
        </w:rPr>
        <w:t>、整体支出评价使用方法和主要内容、涉及对象及范围等</w:t>
      </w:r>
      <w:bookmarkEnd w:id="9"/>
    </w:p>
    <w:p>
      <w:pPr>
        <w:spacing w:line="360" w:lineRule="auto"/>
        <w:ind w:firstLine="560" w:firstLineChars="200"/>
        <w:rPr>
          <w:rStyle w:val="19"/>
          <w:rFonts w:ascii="仿宋_GB2312" w:eastAsia="仿宋_GB2312"/>
          <w:b w:val="0"/>
          <w:bCs w:val="0"/>
          <w:sz w:val="28"/>
          <w:szCs w:val="36"/>
        </w:rPr>
      </w:pPr>
      <w:r>
        <w:rPr>
          <w:rFonts w:hint="eastAsia" w:ascii="仿宋_GB2312" w:eastAsia="仿宋_GB2312"/>
          <w:sz w:val="28"/>
          <w:szCs w:val="36"/>
        </w:rPr>
        <w:t>（1）</w:t>
      </w:r>
      <w:r>
        <w:rPr>
          <w:rStyle w:val="19"/>
          <w:rFonts w:hint="eastAsia" w:ascii="仿宋_GB2312" w:eastAsia="仿宋_GB2312"/>
          <w:b w:val="0"/>
          <w:bCs w:val="0"/>
          <w:sz w:val="28"/>
          <w:szCs w:val="36"/>
        </w:rPr>
        <w:t>整体支出评价使用方法</w:t>
      </w:r>
    </w:p>
    <w:p>
      <w:pPr>
        <w:spacing w:line="360" w:lineRule="auto"/>
        <w:ind w:firstLine="560" w:firstLineChars="200"/>
        <w:rPr>
          <w:rStyle w:val="19"/>
          <w:rFonts w:ascii="仿宋_GB2312" w:eastAsia="仿宋_GB2312"/>
          <w:b w:val="0"/>
          <w:bCs w:val="0"/>
          <w:color w:val="FF0000"/>
          <w:sz w:val="28"/>
          <w:szCs w:val="36"/>
        </w:rPr>
      </w:pPr>
      <w:r>
        <w:rPr>
          <w:rStyle w:val="19"/>
          <w:rFonts w:hint="eastAsia" w:ascii="仿宋_GB2312" w:eastAsia="仿宋_GB2312"/>
          <w:b w:val="0"/>
          <w:bCs w:val="0"/>
          <w:sz w:val="28"/>
          <w:szCs w:val="36"/>
        </w:rPr>
        <w:t>我单位本次采用成本效益分析方法，原因是：因此次评价是对我单位全年整体支出进行评价，可根据我单位年初的预期目标与最终实际完成指标进行对比，从而进行评价。</w:t>
      </w:r>
    </w:p>
    <w:p>
      <w:pPr>
        <w:spacing w:line="360" w:lineRule="auto"/>
        <w:ind w:firstLine="280" w:firstLineChars="100"/>
        <w:rPr>
          <w:rStyle w:val="19"/>
          <w:rFonts w:ascii="仿宋_GB2312" w:eastAsia="仿宋_GB2312"/>
          <w:b w:val="0"/>
          <w:bCs w:val="0"/>
          <w:sz w:val="28"/>
          <w:szCs w:val="36"/>
        </w:rPr>
      </w:pPr>
      <w:r>
        <w:rPr>
          <w:rStyle w:val="19"/>
          <w:rFonts w:hint="eastAsia" w:ascii="仿宋_GB2312" w:eastAsia="仿宋_GB2312"/>
          <w:b w:val="0"/>
          <w:bCs w:val="0"/>
          <w:sz w:val="28"/>
          <w:szCs w:val="36"/>
        </w:rPr>
        <w:t>（2）整体支出评价主要内容</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hint="eastAsia" w:ascii="仿宋_GB2312" w:eastAsia="仿宋_GB2312"/>
          <w:sz w:val="28"/>
          <w:szCs w:val="36"/>
        </w:rPr>
        <w:instrText xml:space="preserve">= 1 \* GB3</w:instrText>
      </w:r>
      <w:r>
        <w:rPr>
          <w:rFonts w:ascii="仿宋_GB2312" w:eastAsia="仿宋_GB2312"/>
          <w:sz w:val="28"/>
          <w:szCs w:val="36"/>
        </w:rPr>
        <w:fldChar w:fldCharType="separate"/>
      </w:r>
      <w:r>
        <w:rPr>
          <w:rFonts w:hint="eastAsia" w:ascii="仿宋_GB2312" w:eastAsia="仿宋_GB2312"/>
          <w:sz w:val="28"/>
          <w:szCs w:val="36"/>
        </w:rPr>
        <w:t>①</w:t>
      </w:r>
      <w:r>
        <w:rPr>
          <w:rFonts w:ascii="仿宋_GB2312" w:eastAsia="仿宋_GB2312"/>
          <w:sz w:val="28"/>
          <w:szCs w:val="36"/>
        </w:rPr>
        <w:fldChar w:fldCharType="end"/>
      </w:r>
      <w:r>
        <w:rPr>
          <w:rFonts w:hint="eastAsia" w:ascii="仿宋_GB2312" w:eastAsia="仿宋_GB2312"/>
          <w:sz w:val="28"/>
          <w:szCs w:val="36"/>
        </w:rPr>
        <w:t>绩效目标的设定情况。重点评价绩效目标设立的充分性、明确性、合理性以及细化程度。</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hint="eastAsia" w:ascii="仿宋_GB2312" w:eastAsia="仿宋_GB2312"/>
          <w:sz w:val="28"/>
          <w:szCs w:val="36"/>
        </w:rPr>
        <w:instrText xml:space="preserve">= 2 \* GB3</w:instrText>
      </w:r>
      <w:r>
        <w:rPr>
          <w:rFonts w:ascii="仿宋_GB2312" w:eastAsia="仿宋_GB2312"/>
          <w:sz w:val="28"/>
          <w:szCs w:val="36"/>
        </w:rPr>
        <w:fldChar w:fldCharType="separate"/>
      </w:r>
      <w:r>
        <w:rPr>
          <w:rFonts w:hint="eastAsia" w:ascii="仿宋_GB2312" w:eastAsia="仿宋_GB2312"/>
          <w:sz w:val="28"/>
          <w:szCs w:val="36"/>
        </w:rPr>
        <w:t>②</w:t>
      </w:r>
      <w:r>
        <w:rPr>
          <w:rFonts w:ascii="仿宋_GB2312" w:eastAsia="仿宋_GB2312"/>
          <w:sz w:val="28"/>
          <w:szCs w:val="36"/>
        </w:rPr>
        <w:fldChar w:fldCharType="end"/>
      </w:r>
      <w:r>
        <w:rPr>
          <w:rFonts w:hint="eastAsia" w:ascii="仿宋_GB2312" w:eastAsia="仿宋_GB2312"/>
          <w:sz w:val="28"/>
          <w:szCs w:val="36"/>
        </w:rPr>
        <w:t>资金投入和使用情况。重点评价资金分配过程、投入方式、资金到位、预算执行和结果。</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hint="eastAsia" w:ascii="仿宋_GB2312" w:eastAsia="仿宋_GB2312"/>
          <w:sz w:val="28"/>
          <w:szCs w:val="36"/>
        </w:rPr>
        <w:instrText xml:space="preserve">= 3 \* GB3</w:instrText>
      </w:r>
      <w:r>
        <w:rPr>
          <w:rFonts w:ascii="仿宋_GB2312" w:eastAsia="仿宋_GB2312"/>
          <w:sz w:val="28"/>
          <w:szCs w:val="36"/>
        </w:rPr>
        <w:fldChar w:fldCharType="separate"/>
      </w:r>
      <w:r>
        <w:rPr>
          <w:rFonts w:hint="eastAsia" w:ascii="仿宋_GB2312" w:eastAsia="仿宋_GB2312"/>
          <w:sz w:val="28"/>
          <w:szCs w:val="36"/>
        </w:rPr>
        <w:t>③</w:t>
      </w:r>
      <w:r>
        <w:rPr>
          <w:rFonts w:ascii="仿宋_GB2312" w:eastAsia="仿宋_GB2312"/>
          <w:sz w:val="28"/>
          <w:szCs w:val="36"/>
        </w:rPr>
        <w:fldChar w:fldCharType="end"/>
      </w:r>
      <w:r>
        <w:rPr>
          <w:rFonts w:hint="eastAsia" w:ascii="仿宋_GB2312" w:eastAsia="仿宋_GB2312"/>
          <w:sz w:val="28"/>
          <w:szCs w:val="36"/>
        </w:rPr>
        <w:t>为实现绩效目标制定的制度、采取的措施等。包括项目管理制度、财务管理制度、资产管理制度和绩效跟踪管理措施等。</w:t>
      </w:r>
    </w:p>
    <w:p>
      <w:pPr>
        <w:spacing w:line="360" w:lineRule="auto"/>
        <w:ind w:firstLine="560" w:firstLineChars="200"/>
        <w:rPr>
          <w:rStyle w:val="19"/>
          <w:rFonts w:ascii="仿宋_GB2312" w:eastAsia="仿宋_GB2312"/>
          <w:b w:val="0"/>
          <w:bCs w:val="0"/>
          <w:sz w:val="28"/>
          <w:szCs w:val="36"/>
        </w:rPr>
      </w:pPr>
      <w:r>
        <w:rPr>
          <w:rFonts w:ascii="仿宋_GB2312" w:eastAsia="仿宋_GB2312"/>
          <w:sz w:val="28"/>
          <w:szCs w:val="36"/>
        </w:rPr>
        <w:fldChar w:fldCharType="begin"/>
      </w:r>
      <w:r>
        <w:rPr>
          <w:rFonts w:hint="eastAsia" w:ascii="仿宋_GB2312" w:eastAsia="仿宋_GB2312"/>
          <w:sz w:val="28"/>
          <w:szCs w:val="36"/>
        </w:rPr>
        <w:instrText xml:space="preserve">= 4 \* GB3</w:instrText>
      </w:r>
      <w:r>
        <w:rPr>
          <w:rFonts w:ascii="仿宋_GB2312" w:eastAsia="仿宋_GB2312"/>
          <w:sz w:val="28"/>
          <w:szCs w:val="36"/>
        </w:rPr>
        <w:fldChar w:fldCharType="separate"/>
      </w:r>
      <w:r>
        <w:rPr>
          <w:rFonts w:hint="eastAsia" w:ascii="仿宋_GB2312" w:eastAsia="仿宋_GB2312"/>
          <w:sz w:val="28"/>
          <w:szCs w:val="36"/>
        </w:rPr>
        <w:t>④</w:t>
      </w:r>
      <w:r>
        <w:rPr>
          <w:rFonts w:ascii="仿宋_GB2312" w:eastAsia="仿宋_GB2312"/>
          <w:sz w:val="28"/>
          <w:szCs w:val="36"/>
        </w:rPr>
        <w:fldChar w:fldCharType="end"/>
      </w:r>
      <w:r>
        <w:rPr>
          <w:rFonts w:hint="eastAsia" w:ascii="仿宋_GB2312" w:eastAsia="仿宋_GB2312"/>
          <w:sz w:val="28"/>
          <w:szCs w:val="36"/>
        </w:rPr>
        <w:t>绩效目标的实现程度和效果。绩效目标的实现程度包括产出数量、产出质量、产出时效和产出成本。效果包括经济效益、社会效益、生态效益、可持续影响以及服务对象满意度等。</w:t>
      </w:r>
    </w:p>
    <w:p>
      <w:pPr>
        <w:spacing w:line="360" w:lineRule="auto"/>
        <w:ind w:firstLine="560" w:firstLineChars="200"/>
        <w:rPr>
          <w:rStyle w:val="19"/>
          <w:rFonts w:ascii="仿宋_GB2312" w:eastAsia="仿宋_GB2312"/>
          <w:b w:val="0"/>
          <w:bCs w:val="0"/>
          <w:sz w:val="28"/>
          <w:szCs w:val="36"/>
        </w:rPr>
      </w:pPr>
      <w:r>
        <w:rPr>
          <w:rStyle w:val="19"/>
          <w:rFonts w:hint="eastAsia" w:ascii="仿宋_GB2312" w:eastAsia="仿宋_GB2312"/>
          <w:b w:val="0"/>
          <w:bCs w:val="0"/>
          <w:sz w:val="28"/>
          <w:szCs w:val="36"/>
        </w:rPr>
        <w:t>（3）整体支出评价涉及对象及范围</w:t>
      </w:r>
    </w:p>
    <w:p>
      <w:pPr>
        <w:spacing w:line="360" w:lineRule="auto"/>
        <w:ind w:firstLine="560" w:firstLineChars="200"/>
        <w:rPr>
          <w:rStyle w:val="19"/>
          <w:rFonts w:ascii="仿宋_GB2312" w:eastAsia="仿宋_GB2312"/>
          <w:b w:val="0"/>
          <w:bCs w:val="0"/>
          <w:sz w:val="28"/>
          <w:szCs w:val="36"/>
        </w:rPr>
      </w:pPr>
      <w:r>
        <w:rPr>
          <w:rStyle w:val="19"/>
          <w:rFonts w:hint="eastAsia" w:ascii="仿宋_GB2312" w:eastAsia="仿宋_GB2312"/>
          <w:b w:val="0"/>
          <w:bCs w:val="0"/>
          <w:sz w:val="28"/>
          <w:szCs w:val="36"/>
        </w:rPr>
        <w:t>涉及对象：</w:t>
      </w:r>
      <w:r>
        <w:rPr>
          <w:rFonts w:hint="eastAsia" w:ascii="仿宋_GB2312" w:eastAsia="仿宋_GB2312"/>
          <w:sz w:val="28"/>
          <w:szCs w:val="36"/>
        </w:rPr>
        <w:t>本次评价对象是中共特克斯县委员会党校所有财政资金支出活动。</w:t>
      </w:r>
    </w:p>
    <w:p>
      <w:pPr>
        <w:spacing w:line="360" w:lineRule="auto"/>
        <w:ind w:firstLine="560" w:firstLineChars="200"/>
        <w:rPr>
          <w:rStyle w:val="19"/>
          <w:rFonts w:ascii="仿宋_GB2312" w:eastAsia="仿宋_GB2312"/>
          <w:b w:val="0"/>
          <w:bCs w:val="0"/>
          <w:sz w:val="28"/>
          <w:szCs w:val="36"/>
        </w:rPr>
      </w:pPr>
      <w:r>
        <w:rPr>
          <w:rStyle w:val="19"/>
          <w:rFonts w:hint="eastAsia" w:ascii="仿宋_GB2312" w:eastAsia="仿宋_GB2312"/>
          <w:b w:val="0"/>
          <w:bCs w:val="0"/>
          <w:sz w:val="28"/>
          <w:szCs w:val="36"/>
        </w:rPr>
        <w:t>整体支出评价范围：</w:t>
      </w:r>
    </w:p>
    <w:p>
      <w:pPr>
        <w:spacing w:line="360" w:lineRule="auto"/>
        <w:ind w:firstLine="544" w:firstLineChars="200"/>
        <w:rPr>
          <w:rStyle w:val="19"/>
          <w:rFonts w:ascii="仿宋_GB2312" w:hAnsi="楷体" w:eastAsia="仿宋_GB2312"/>
          <w:b w:val="0"/>
          <w:spacing w:val="-4"/>
          <w:sz w:val="28"/>
          <w:szCs w:val="28"/>
        </w:rPr>
      </w:pPr>
      <w:r>
        <w:rPr>
          <w:rStyle w:val="19"/>
          <w:rFonts w:ascii="仿宋_GB2312" w:hAnsi="楷体" w:eastAsia="仿宋_GB2312"/>
          <w:b w:val="0"/>
          <w:spacing w:val="-4"/>
          <w:sz w:val="28"/>
          <w:szCs w:val="28"/>
        </w:rPr>
        <w:fldChar w:fldCharType="begin"/>
      </w:r>
      <w:r>
        <w:rPr>
          <w:rStyle w:val="19"/>
          <w:rFonts w:hint="eastAsia" w:ascii="仿宋_GB2312" w:hAnsi="楷体" w:eastAsia="仿宋_GB2312"/>
          <w:b w:val="0"/>
          <w:spacing w:val="-4"/>
          <w:sz w:val="28"/>
          <w:szCs w:val="28"/>
        </w:rPr>
        <w:instrText xml:space="preserve">= 1 \* GB3</w:instrText>
      </w:r>
      <w:r>
        <w:rPr>
          <w:rStyle w:val="19"/>
          <w:rFonts w:ascii="仿宋_GB2312" w:hAnsi="楷体" w:eastAsia="仿宋_GB2312"/>
          <w:b w:val="0"/>
          <w:spacing w:val="-4"/>
          <w:sz w:val="28"/>
          <w:szCs w:val="28"/>
        </w:rPr>
        <w:fldChar w:fldCharType="separate"/>
      </w:r>
      <w:r>
        <w:rPr>
          <w:rStyle w:val="19"/>
          <w:rFonts w:hint="eastAsia" w:ascii="仿宋_GB2312" w:hAnsi="楷体" w:eastAsia="仿宋_GB2312"/>
          <w:b w:val="0"/>
          <w:spacing w:val="-4"/>
          <w:sz w:val="28"/>
          <w:szCs w:val="28"/>
        </w:rPr>
        <w:t>①</w:t>
      </w:r>
      <w:r>
        <w:rPr>
          <w:rStyle w:val="19"/>
          <w:rFonts w:ascii="仿宋_GB2312" w:hAnsi="楷体" w:eastAsia="仿宋_GB2312"/>
          <w:b w:val="0"/>
          <w:spacing w:val="-4"/>
          <w:sz w:val="28"/>
          <w:szCs w:val="28"/>
        </w:rPr>
        <w:fldChar w:fldCharType="end"/>
      </w:r>
      <w:r>
        <w:rPr>
          <w:rStyle w:val="19"/>
          <w:rFonts w:hint="eastAsia" w:ascii="仿宋_GB2312" w:hAnsi="楷体" w:eastAsia="仿宋_GB2312"/>
          <w:b w:val="0"/>
          <w:spacing w:val="-4"/>
          <w:sz w:val="28"/>
          <w:szCs w:val="28"/>
        </w:rPr>
        <w:t>基本支出 365.14万元，其中：工资福利支出，商品和服务支出，对个人和家庭的补助支出，资本性支出。</w:t>
      </w:r>
    </w:p>
    <w:p>
      <w:pPr>
        <w:spacing w:line="360" w:lineRule="auto"/>
        <w:ind w:firstLine="492" w:firstLineChars="181"/>
        <w:rPr>
          <w:rStyle w:val="19"/>
          <w:rFonts w:ascii="仿宋_GB2312" w:hAnsi="楷体" w:eastAsia="仿宋_GB2312"/>
          <w:b w:val="0"/>
          <w:spacing w:val="-4"/>
          <w:sz w:val="28"/>
          <w:szCs w:val="28"/>
        </w:rPr>
      </w:pPr>
      <w:r>
        <w:rPr>
          <w:rStyle w:val="19"/>
          <w:rFonts w:ascii="仿宋_GB2312" w:hAnsi="楷体" w:eastAsia="仿宋_GB2312"/>
          <w:b w:val="0"/>
          <w:spacing w:val="-4"/>
          <w:sz w:val="28"/>
          <w:szCs w:val="28"/>
        </w:rPr>
        <w:fldChar w:fldCharType="begin"/>
      </w:r>
      <w:r>
        <w:rPr>
          <w:rStyle w:val="19"/>
          <w:rFonts w:hint="eastAsia" w:ascii="仿宋_GB2312" w:hAnsi="楷体" w:eastAsia="仿宋_GB2312"/>
          <w:b w:val="0"/>
          <w:spacing w:val="-4"/>
          <w:sz w:val="28"/>
          <w:szCs w:val="28"/>
        </w:rPr>
        <w:instrText xml:space="preserve">= 2 \* GB3</w:instrText>
      </w:r>
      <w:r>
        <w:rPr>
          <w:rStyle w:val="19"/>
          <w:rFonts w:ascii="仿宋_GB2312" w:hAnsi="楷体" w:eastAsia="仿宋_GB2312"/>
          <w:b w:val="0"/>
          <w:spacing w:val="-4"/>
          <w:sz w:val="28"/>
          <w:szCs w:val="28"/>
        </w:rPr>
        <w:fldChar w:fldCharType="separate"/>
      </w:r>
      <w:r>
        <w:rPr>
          <w:rStyle w:val="19"/>
          <w:rFonts w:hint="eastAsia" w:ascii="仿宋_GB2312" w:hAnsi="楷体" w:eastAsia="仿宋_GB2312"/>
          <w:b w:val="0"/>
          <w:spacing w:val="-4"/>
          <w:sz w:val="28"/>
          <w:szCs w:val="28"/>
        </w:rPr>
        <w:t>②</w:t>
      </w:r>
      <w:r>
        <w:rPr>
          <w:rStyle w:val="19"/>
          <w:rFonts w:ascii="仿宋_GB2312" w:hAnsi="楷体" w:eastAsia="仿宋_GB2312"/>
          <w:b w:val="0"/>
          <w:spacing w:val="-4"/>
          <w:sz w:val="28"/>
          <w:szCs w:val="28"/>
        </w:rPr>
        <w:fldChar w:fldCharType="end"/>
      </w:r>
      <w:r>
        <w:rPr>
          <w:rStyle w:val="19"/>
          <w:rFonts w:hint="eastAsia" w:ascii="仿宋_GB2312" w:hAnsi="楷体" w:eastAsia="仿宋_GB2312"/>
          <w:b w:val="0"/>
          <w:spacing w:val="-4"/>
          <w:sz w:val="28"/>
          <w:szCs w:val="28"/>
        </w:rPr>
        <w:t>项目支出0万元。</w:t>
      </w:r>
    </w:p>
    <w:p>
      <w:pPr>
        <w:pStyle w:val="5"/>
        <w:spacing w:line="360" w:lineRule="auto"/>
        <w:rPr>
          <w:rFonts w:ascii="仿宋" w:hAnsi="仿宋" w:eastAsia="仿宋"/>
          <w:sz w:val="36"/>
          <w:szCs w:val="36"/>
        </w:rPr>
      </w:pPr>
      <w:bookmarkStart w:id="10" w:name="_Toc70450297"/>
      <w:r>
        <w:rPr>
          <w:rFonts w:hint="eastAsia" w:ascii="仿宋" w:hAnsi="仿宋" w:eastAsia="仿宋"/>
          <w:sz w:val="36"/>
          <w:szCs w:val="36"/>
        </w:rPr>
        <w:t>二、部门单位整体支出管理及使用情况</w:t>
      </w:r>
      <w:bookmarkEnd w:id="10"/>
    </w:p>
    <w:p>
      <w:pPr>
        <w:pStyle w:val="6"/>
        <w:spacing w:line="360" w:lineRule="auto"/>
        <w:rPr>
          <w:rStyle w:val="19"/>
          <w:rFonts w:ascii="仿宋" w:hAnsi="仿宋" w:eastAsia="仿宋"/>
          <w:b/>
          <w:bCs/>
        </w:rPr>
      </w:pPr>
      <w:bookmarkStart w:id="11" w:name="_Toc70450298"/>
      <w:r>
        <w:rPr>
          <w:rStyle w:val="19"/>
          <w:rFonts w:hint="eastAsia" w:ascii="仿宋" w:hAnsi="仿宋" w:eastAsia="仿宋"/>
          <w:b/>
          <w:bCs/>
        </w:rPr>
        <w:t>（一）预算管理</w:t>
      </w:r>
      <w:bookmarkEnd w:id="11"/>
    </w:p>
    <w:p>
      <w:pPr>
        <w:pStyle w:val="7"/>
        <w:spacing w:line="360" w:lineRule="auto"/>
        <w:ind w:firstLine="562" w:firstLineChars="200"/>
        <w:rPr>
          <w:rStyle w:val="19"/>
          <w:rFonts w:ascii="仿宋" w:hAnsi="仿宋" w:eastAsia="仿宋"/>
          <w:b/>
          <w:bCs/>
        </w:rPr>
      </w:pPr>
      <w:bookmarkStart w:id="12" w:name="_Toc70450299"/>
      <w:r>
        <w:rPr>
          <w:rStyle w:val="19"/>
          <w:rFonts w:ascii="仿宋" w:hAnsi="仿宋" w:eastAsia="仿宋"/>
          <w:b/>
          <w:bCs/>
        </w:rPr>
        <w:t>1</w:t>
      </w:r>
      <w:r>
        <w:rPr>
          <w:rStyle w:val="19"/>
          <w:rFonts w:hint="eastAsia" w:ascii="仿宋" w:hAnsi="仿宋" w:eastAsia="仿宋"/>
          <w:b/>
          <w:bCs/>
        </w:rPr>
        <w:t>、预算编制管理</w:t>
      </w:r>
      <w:bookmarkEnd w:id="12"/>
    </w:p>
    <w:p>
      <w:pPr>
        <w:spacing w:line="360" w:lineRule="auto"/>
        <w:ind w:firstLine="506" w:firstLineChars="181"/>
        <w:rPr>
          <w:rStyle w:val="19"/>
          <w:rFonts w:asciiTheme="minorEastAsia" w:hAnsiTheme="minorEastAsia"/>
          <w:color w:val="FF0000"/>
          <w:spacing w:val="-4"/>
          <w:sz w:val="28"/>
          <w:szCs w:val="28"/>
        </w:rPr>
      </w:pPr>
      <w:r>
        <w:rPr>
          <w:rFonts w:hint="eastAsia" w:ascii="仿宋_GB2312" w:eastAsia="仿宋_GB2312"/>
          <w:sz w:val="28"/>
          <w:szCs w:val="36"/>
        </w:rPr>
        <w:t>我单位严格按照财政部门预算编制与预算调整的工作要求，在预算编制、分配依据否充分的条件下，切实做好“先定目标再编预算”，确保预算分配结果合理。同时按照财政局要求，部门预算及绩效目标在特克斯县人民政府信息网公开，</w:t>
      </w:r>
      <w:r>
        <w:rPr>
          <w:rFonts w:ascii="仿宋_GB2312" w:eastAsia="仿宋_GB2312"/>
          <w:sz w:val="28"/>
          <w:szCs w:val="36"/>
          <w:lang w:val="zh-CN"/>
        </w:rPr>
        <w:t>广泛接受社会监督</w:t>
      </w:r>
      <w:r>
        <w:rPr>
          <w:rFonts w:hint="eastAsia" w:ascii="仿宋_GB2312" w:eastAsia="仿宋_GB2312"/>
          <w:sz w:val="28"/>
          <w:szCs w:val="36"/>
          <w:lang w:val="zh-CN"/>
        </w:rPr>
        <w:t>。</w:t>
      </w:r>
    </w:p>
    <w:p>
      <w:pPr>
        <w:pStyle w:val="7"/>
        <w:spacing w:line="360" w:lineRule="auto"/>
        <w:ind w:firstLine="562" w:firstLineChars="200"/>
        <w:rPr>
          <w:rStyle w:val="19"/>
          <w:rFonts w:ascii="仿宋" w:hAnsi="仿宋" w:eastAsia="仿宋"/>
          <w:b/>
          <w:bCs/>
        </w:rPr>
      </w:pPr>
      <w:bookmarkStart w:id="13" w:name="_Toc70450300"/>
      <w:r>
        <w:rPr>
          <w:rStyle w:val="19"/>
          <w:rFonts w:hint="eastAsia" w:ascii="仿宋" w:hAnsi="仿宋" w:eastAsia="仿宋"/>
          <w:b/>
          <w:bCs/>
        </w:rPr>
        <w:t>2</w:t>
      </w:r>
      <w:r>
        <w:rPr>
          <w:rStyle w:val="19"/>
          <w:rFonts w:ascii="仿宋" w:hAnsi="仿宋" w:eastAsia="仿宋"/>
          <w:b/>
          <w:bCs/>
        </w:rPr>
        <w:t>、预算</w:t>
      </w:r>
      <w:r>
        <w:rPr>
          <w:rStyle w:val="19"/>
          <w:rFonts w:hint="eastAsia" w:ascii="仿宋" w:hAnsi="仿宋" w:eastAsia="仿宋"/>
          <w:b/>
          <w:bCs/>
        </w:rPr>
        <w:t>支出</w:t>
      </w:r>
      <w:r>
        <w:rPr>
          <w:rStyle w:val="19"/>
          <w:rFonts w:ascii="仿宋" w:hAnsi="仿宋" w:eastAsia="仿宋"/>
          <w:b/>
          <w:bCs/>
        </w:rPr>
        <w:t>管理</w:t>
      </w:r>
      <w:bookmarkEnd w:id="13"/>
    </w:p>
    <w:p>
      <w:pPr>
        <w:spacing w:line="360" w:lineRule="auto"/>
        <w:ind w:firstLine="560" w:firstLineChars="200"/>
        <w:rPr>
          <w:rStyle w:val="19"/>
          <w:rFonts w:asciiTheme="minorEastAsia" w:hAnsiTheme="minorEastAsia"/>
          <w:color w:val="FF0000"/>
          <w:spacing w:val="-4"/>
          <w:sz w:val="28"/>
          <w:szCs w:val="28"/>
        </w:rPr>
      </w:pPr>
      <w:r>
        <w:rPr>
          <w:rFonts w:hint="eastAsia" w:ascii="仿宋_GB2312" w:eastAsia="仿宋_GB2312"/>
          <w:sz w:val="28"/>
          <w:szCs w:val="36"/>
        </w:rPr>
        <w:t>我单位按照财政要求基本支出分月度申报资金使用计划，由财政部门按照进度每月按期拨付，人员支出按照工资计划发放工资；依照中共特克斯县委员会党校《财务管理制度》相关规定和中共特克斯县委员会党校《预算支出》规定流程，资金支出按照我单位内控体系中设定的流程申报审批进行；项目支出属于政府采购的，按照中共特克斯县委员会党校《政府采购与招标管理办法》组织人员制定采购计划，按照财政局采购部门批复，进行公开招标、邀请招标等方式进行；属于非政府采购的项目，按照“三重一大”制度规定，重大项目支出上党组会研究决定。</w:t>
      </w:r>
    </w:p>
    <w:p>
      <w:pPr>
        <w:pStyle w:val="6"/>
        <w:spacing w:line="360" w:lineRule="auto"/>
        <w:rPr>
          <w:rStyle w:val="19"/>
          <w:b/>
          <w:bCs/>
          <w:sz w:val="28"/>
          <w:szCs w:val="28"/>
        </w:rPr>
      </w:pPr>
      <w:bookmarkStart w:id="14" w:name="_Toc70450301"/>
      <w:r>
        <w:rPr>
          <w:rStyle w:val="19"/>
          <w:rFonts w:hint="eastAsia"/>
          <w:b/>
          <w:bCs/>
          <w:sz w:val="28"/>
          <w:szCs w:val="28"/>
        </w:rPr>
        <w:t>（二）基本支出管理及使用情况</w:t>
      </w:r>
      <w:bookmarkEnd w:id="14"/>
    </w:p>
    <w:p>
      <w:pPr>
        <w:spacing w:line="360" w:lineRule="auto"/>
        <w:ind w:firstLine="492" w:firstLineChars="181"/>
        <w:rPr>
          <w:rStyle w:val="19"/>
          <w:rFonts w:ascii="仿宋_GB2312" w:hAnsi="楷体" w:eastAsia="仿宋_GB2312"/>
          <w:b w:val="0"/>
          <w:spacing w:val="-4"/>
          <w:sz w:val="28"/>
          <w:szCs w:val="28"/>
        </w:rPr>
      </w:pPr>
      <w:r>
        <w:rPr>
          <w:rStyle w:val="19"/>
          <w:rFonts w:hint="eastAsia" w:ascii="仿宋_GB2312" w:hAnsi="楷体" w:eastAsia="仿宋_GB2312"/>
          <w:b w:val="0"/>
          <w:spacing w:val="-4"/>
          <w:sz w:val="28"/>
          <w:szCs w:val="28"/>
        </w:rPr>
        <w:t>2021年基本支出预算安排365.14万元，实际到位365.14万元,实际支出365.14万元，占总支出的100％，其中：工资福利支出219.41万元、商品和服务支出56.53万元、对个人和家庭的补助13.63万元、主要用于退休职工个人取暖费、抚恤金、退休人员计生津贴、奖励金。资本性支出75.57万元。</w:t>
      </w:r>
    </w:p>
    <w:p>
      <w:pPr>
        <w:spacing w:line="360" w:lineRule="auto"/>
        <w:ind w:firstLine="492" w:firstLineChars="181"/>
        <w:rPr>
          <w:rStyle w:val="19"/>
          <w:rFonts w:ascii="仿宋_GB2312" w:hAnsi="楷体" w:eastAsia="仿宋_GB2312"/>
          <w:b w:val="0"/>
          <w:spacing w:val="-4"/>
          <w:sz w:val="28"/>
          <w:szCs w:val="28"/>
        </w:rPr>
      </w:pPr>
      <w:r>
        <w:rPr>
          <w:rStyle w:val="19"/>
          <w:rFonts w:hint="eastAsia" w:ascii="仿宋_GB2312" w:hAnsi="楷体" w:eastAsia="仿宋_GB2312"/>
          <w:b w:val="0"/>
          <w:spacing w:val="-4"/>
          <w:sz w:val="28"/>
          <w:szCs w:val="28"/>
        </w:rPr>
        <w:t>2021年基本支出比上年273.99万元,增加91.15万元，上升33.27</w:t>
      </w:r>
      <w:r>
        <w:rPr>
          <w:rStyle w:val="19"/>
          <w:rFonts w:ascii="仿宋_GB2312" w:hAnsi="宋体" w:eastAsia="仿宋_GB2312"/>
          <w:b w:val="0"/>
          <w:bCs w:val="0"/>
          <w:spacing w:val="-4"/>
          <w:sz w:val="28"/>
          <w:szCs w:val="28"/>
        </w:rPr>
        <w:t>%</w:t>
      </w:r>
      <w:r>
        <w:rPr>
          <w:rStyle w:val="19"/>
          <w:rFonts w:hint="eastAsia" w:ascii="仿宋_GB2312" w:hAnsi="楷体" w:eastAsia="仿宋_GB2312"/>
          <w:b w:val="0"/>
          <w:spacing w:val="-4"/>
          <w:sz w:val="28"/>
          <w:szCs w:val="28"/>
        </w:rPr>
        <w:t>，支出上升的主要原因是增加了2019年党校整体搬迁时的办公设备购置支出和改造支出费用。</w:t>
      </w:r>
    </w:p>
    <w:p>
      <w:pPr>
        <w:spacing w:line="360" w:lineRule="auto"/>
        <w:ind w:firstLine="492" w:firstLineChars="181"/>
        <w:rPr>
          <w:rStyle w:val="19"/>
          <w:rFonts w:ascii="仿宋_GB2312" w:hAnsi="楷体" w:eastAsia="仿宋_GB2312"/>
          <w:b w:val="0"/>
          <w:spacing w:val="-4"/>
          <w:sz w:val="28"/>
          <w:szCs w:val="28"/>
        </w:rPr>
      </w:pPr>
      <w:r>
        <w:rPr>
          <w:rStyle w:val="19"/>
          <w:rFonts w:ascii="仿宋_GB2312" w:hAnsi="楷体" w:eastAsia="仿宋_GB2312"/>
          <w:b w:val="0"/>
          <w:spacing w:val="-4"/>
          <w:sz w:val="28"/>
          <w:szCs w:val="28"/>
        </w:rPr>
        <w:t>2021</w:t>
      </w:r>
      <w:r>
        <w:rPr>
          <w:rStyle w:val="19"/>
          <w:rFonts w:hint="eastAsia" w:ascii="仿宋_GB2312" w:hAnsi="楷体" w:eastAsia="仿宋_GB2312"/>
          <w:b w:val="0"/>
          <w:spacing w:val="-4"/>
          <w:sz w:val="28"/>
          <w:szCs w:val="28"/>
        </w:rPr>
        <w:t>年一般公共预算“三公”经费数为0万元，其中：因公出国（境）费0万元，公务用车购置0 万元，公务用车运行费 0.8 万元，公务接待费0万元。</w:t>
      </w:r>
    </w:p>
    <w:p>
      <w:pPr>
        <w:spacing w:line="360" w:lineRule="auto"/>
        <w:ind w:firstLine="492" w:firstLineChars="181"/>
        <w:rPr>
          <w:rStyle w:val="19"/>
          <w:rFonts w:ascii="仿宋_GB2312" w:hAnsi="楷体" w:eastAsia="仿宋_GB2312"/>
          <w:b w:val="0"/>
          <w:spacing w:val="-4"/>
          <w:sz w:val="28"/>
          <w:szCs w:val="28"/>
        </w:rPr>
      </w:pPr>
      <w:r>
        <w:rPr>
          <w:rStyle w:val="19"/>
          <w:rFonts w:ascii="仿宋_GB2312" w:hAnsi="楷体" w:eastAsia="仿宋_GB2312"/>
          <w:b w:val="0"/>
          <w:spacing w:val="-4"/>
          <w:sz w:val="28"/>
          <w:szCs w:val="28"/>
        </w:rPr>
        <w:t>2021</w:t>
      </w:r>
      <w:r>
        <w:rPr>
          <w:rStyle w:val="19"/>
          <w:rFonts w:hint="eastAsia" w:ascii="仿宋_GB2312" w:hAnsi="楷体" w:eastAsia="仿宋_GB2312"/>
          <w:b w:val="0"/>
          <w:spacing w:val="-4"/>
          <w:sz w:val="28"/>
          <w:szCs w:val="28"/>
        </w:rPr>
        <w:t>年一般公共预算“三公”经费比上年增加0 万元，其中：因公出国（境）费增加 0万元，主要原因是未安排预算 ；公务用车购置费为0，未安排预算；公务用车运行费增加 0万元，主要原因是 与上年一致；公务接待费增加0万元，主要原因是未安排预算。</w:t>
      </w:r>
    </w:p>
    <w:p>
      <w:pPr>
        <w:pStyle w:val="6"/>
        <w:spacing w:line="360" w:lineRule="auto"/>
        <w:rPr>
          <w:rStyle w:val="19"/>
          <w:rFonts w:ascii="仿宋_GB2312" w:hAnsi="楷体" w:eastAsia="仿宋_GB2312"/>
          <w:b w:val="0"/>
          <w:bCs/>
          <w:spacing w:val="-4"/>
          <w:sz w:val="28"/>
          <w:szCs w:val="28"/>
        </w:rPr>
      </w:pPr>
      <w:bookmarkStart w:id="15" w:name="_Toc70450302"/>
      <w:r>
        <w:rPr>
          <w:rStyle w:val="19"/>
          <w:rFonts w:hint="eastAsia" w:ascii="仿宋" w:hAnsi="仿宋" w:eastAsia="仿宋"/>
          <w:b/>
          <w:bCs/>
        </w:rPr>
        <w:t>（三）专项支出管理及使用情况</w:t>
      </w:r>
      <w:bookmarkEnd w:id="15"/>
    </w:p>
    <w:p>
      <w:pPr>
        <w:pStyle w:val="7"/>
        <w:spacing w:line="360" w:lineRule="auto"/>
        <w:ind w:firstLine="562" w:firstLineChars="200"/>
        <w:rPr>
          <w:rStyle w:val="19"/>
          <w:rFonts w:ascii="仿宋" w:hAnsi="仿宋" w:eastAsia="仿宋"/>
          <w:b/>
          <w:bCs/>
          <w:shd w:val="clear" w:color="auto" w:fill="FFFFFF" w:themeFill="background1"/>
        </w:rPr>
      </w:pPr>
      <w:bookmarkStart w:id="16" w:name="_Toc70450303"/>
      <w:bookmarkStart w:id="17" w:name="_Toc70450306"/>
      <w:r>
        <w:rPr>
          <w:rStyle w:val="19"/>
          <w:rFonts w:hint="eastAsia" w:ascii="仿宋" w:hAnsi="仿宋" w:eastAsia="仿宋"/>
          <w:b/>
          <w:bCs/>
          <w:shd w:val="clear" w:color="auto" w:fill="FFFFFF" w:themeFill="background1"/>
        </w:rPr>
        <w:t>1、专项资金安排落实、总投入等情况分析</w:t>
      </w:r>
      <w:bookmarkEnd w:id="16"/>
    </w:p>
    <w:p>
      <w:pPr>
        <w:spacing w:line="360" w:lineRule="auto"/>
        <w:ind w:firstLine="492" w:firstLineChars="181"/>
        <w:rPr>
          <w:rStyle w:val="19"/>
          <w:rFonts w:ascii="仿宋_GB2312" w:hAnsi="楷体" w:eastAsia="仿宋_GB2312"/>
          <w:b w:val="0"/>
          <w:spacing w:val="-4"/>
          <w:sz w:val="28"/>
          <w:szCs w:val="28"/>
          <w:shd w:val="clear" w:color="auto" w:fill="FFFFFF" w:themeFill="background1"/>
        </w:rPr>
      </w:pPr>
      <w:r>
        <w:rPr>
          <w:rStyle w:val="19"/>
          <w:rFonts w:ascii="仿宋_GB2312" w:hAnsi="楷体" w:eastAsia="仿宋_GB2312"/>
          <w:b w:val="0"/>
          <w:spacing w:val="-4"/>
          <w:sz w:val="28"/>
          <w:szCs w:val="28"/>
          <w:shd w:val="clear" w:color="auto" w:fill="FFFFFF" w:themeFill="background1"/>
        </w:rPr>
        <w:t>2021</w:t>
      </w:r>
      <w:r>
        <w:rPr>
          <w:rStyle w:val="19"/>
          <w:rFonts w:hint="eastAsia" w:ascii="仿宋_GB2312" w:hAnsi="楷体" w:eastAsia="仿宋_GB2312"/>
          <w:b w:val="0"/>
          <w:spacing w:val="-4"/>
          <w:sz w:val="28"/>
          <w:szCs w:val="28"/>
          <w:shd w:val="clear" w:color="auto" w:fill="FFFFFF" w:themeFill="background1"/>
        </w:rPr>
        <w:t>年预算安排专项资金0万元，实际到位0 万元,到位率0％,其中:中央转移支付项目资金0万元，自治区资金0万元，本级安排 0万元。</w:t>
      </w:r>
    </w:p>
    <w:p>
      <w:pPr>
        <w:pStyle w:val="7"/>
        <w:spacing w:line="360" w:lineRule="auto"/>
        <w:ind w:firstLine="562" w:firstLineChars="200"/>
        <w:rPr>
          <w:rStyle w:val="19"/>
          <w:rFonts w:ascii="仿宋" w:hAnsi="仿宋" w:eastAsia="仿宋"/>
          <w:b/>
          <w:bCs/>
        </w:rPr>
      </w:pPr>
      <w:bookmarkStart w:id="18" w:name="_Toc70450304"/>
      <w:r>
        <w:rPr>
          <w:rStyle w:val="19"/>
          <w:rFonts w:hint="eastAsia" w:ascii="仿宋" w:hAnsi="仿宋" w:eastAsia="仿宋"/>
          <w:b/>
          <w:bCs/>
        </w:rPr>
        <w:t>2、专项资金实际使用情况</w:t>
      </w:r>
      <w:bookmarkEnd w:id="18"/>
    </w:p>
    <w:p>
      <w:pPr>
        <w:spacing w:line="360" w:lineRule="auto"/>
        <w:ind w:firstLine="492" w:firstLineChars="181"/>
        <w:rPr>
          <w:rStyle w:val="19"/>
          <w:rFonts w:ascii="仿宋_GB2312" w:hAnsi="楷体" w:eastAsia="仿宋_GB2312"/>
          <w:b w:val="0"/>
          <w:spacing w:val="-4"/>
          <w:sz w:val="28"/>
          <w:szCs w:val="28"/>
        </w:rPr>
      </w:pPr>
      <w:r>
        <w:rPr>
          <w:rStyle w:val="19"/>
          <w:rFonts w:hint="eastAsia" w:ascii="仿宋_GB2312" w:hAnsi="楷体" w:eastAsia="仿宋_GB2312"/>
          <w:b w:val="0"/>
          <w:spacing w:val="-4"/>
          <w:sz w:val="28"/>
          <w:szCs w:val="28"/>
        </w:rPr>
        <w:t>2021年专项资金支出0万元，占总支出的0%，其中2021年专项项目支出比上年万元增加0万元，上升0%。主要原因是本单位2021年度未安排项目支出预算。</w:t>
      </w:r>
    </w:p>
    <w:p>
      <w:pPr>
        <w:pStyle w:val="7"/>
        <w:spacing w:line="360" w:lineRule="auto"/>
        <w:ind w:firstLine="562" w:firstLineChars="200"/>
        <w:rPr>
          <w:rStyle w:val="19"/>
          <w:rFonts w:ascii="仿宋" w:hAnsi="仿宋" w:eastAsia="仿宋"/>
          <w:b/>
          <w:bCs/>
        </w:rPr>
      </w:pPr>
      <w:bookmarkStart w:id="19" w:name="_Toc70450305"/>
      <w:r>
        <w:rPr>
          <w:rStyle w:val="19"/>
          <w:rFonts w:hint="eastAsia" w:ascii="仿宋" w:hAnsi="仿宋" w:eastAsia="仿宋"/>
          <w:b/>
          <w:bCs/>
        </w:rPr>
        <w:t>3、专项资金管理情况</w:t>
      </w:r>
      <w:bookmarkEnd w:id="19"/>
    </w:p>
    <w:p>
      <w:pPr>
        <w:spacing w:line="360" w:lineRule="auto"/>
        <w:ind w:firstLine="492" w:firstLineChars="181"/>
        <w:rPr>
          <w:rStyle w:val="19"/>
          <w:rFonts w:ascii="仿宋_GB2312" w:hAnsi="楷体" w:eastAsia="仿宋_GB2312"/>
          <w:b w:val="0"/>
          <w:spacing w:val="-4"/>
          <w:sz w:val="28"/>
          <w:szCs w:val="28"/>
        </w:rPr>
      </w:pPr>
      <w:r>
        <w:rPr>
          <w:rStyle w:val="19"/>
          <w:rFonts w:hint="eastAsia" w:ascii="仿宋_GB2312" w:hAnsi="楷体" w:eastAsia="仿宋_GB2312"/>
          <w:b w:val="0"/>
          <w:spacing w:val="-4"/>
          <w:sz w:val="28"/>
          <w:szCs w:val="28"/>
        </w:rPr>
        <w:t>为规范专项资金使用，提高专项资金使用效益，我单位主要采取四项措施。</w:t>
      </w:r>
    </w:p>
    <w:p>
      <w:pPr>
        <w:spacing w:line="360" w:lineRule="auto"/>
        <w:ind w:firstLine="492" w:firstLineChars="181"/>
        <w:rPr>
          <w:rStyle w:val="19"/>
          <w:rFonts w:ascii="仿宋_GB2312" w:hAnsi="楷体" w:eastAsia="仿宋_GB2312"/>
          <w:b w:val="0"/>
          <w:spacing w:val="-4"/>
          <w:sz w:val="28"/>
          <w:szCs w:val="28"/>
        </w:rPr>
      </w:pPr>
      <w:r>
        <w:rPr>
          <w:rStyle w:val="19"/>
          <w:rFonts w:hint="eastAsia" w:ascii="仿宋_GB2312" w:hAnsi="楷体" w:eastAsia="仿宋_GB2312"/>
          <w:b w:val="0"/>
          <w:spacing w:val="-4"/>
          <w:sz w:val="28"/>
          <w:szCs w:val="28"/>
        </w:rPr>
        <w:t>一是制订专项资金管理制度；二是各专项资金建立了专帐；三是制订了项目实施方案；四是认真组织项目验收。切实确保专项资金都做到了专款专用。其中：</w:t>
      </w:r>
    </w:p>
    <w:p>
      <w:pPr>
        <w:spacing w:line="360" w:lineRule="auto"/>
        <w:ind w:firstLine="492" w:firstLineChars="181"/>
        <w:rPr>
          <w:rStyle w:val="19"/>
          <w:rFonts w:ascii="仿宋_GB2312" w:hAnsi="楷体" w:eastAsia="仿宋_GB2312"/>
          <w:b w:val="0"/>
          <w:spacing w:val="-4"/>
          <w:sz w:val="28"/>
          <w:szCs w:val="28"/>
        </w:rPr>
      </w:pPr>
      <w:r>
        <w:rPr>
          <w:rStyle w:val="19"/>
          <w:rFonts w:hint="eastAsia" w:ascii="仿宋_GB2312" w:hAnsi="楷体" w:eastAsia="仿宋_GB2312"/>
          <w:b w:val="0"/>
          <w:spacing w:val="-4"/>
          <w:sz w:val="28"/>
          <w:szCs w:val="28"/>
        </w:rPr>
        <w:t>（1）制定了《特克斯县委党校专项资金管理办法&gt;&gt;，，各项资金使用审批流程均按规定办理。涉及“三重一大”内容，严格按照规定提请局党组会审议决定，包括项目资金分配、重大项目确定、大额资金支付等。</w:t>
      </w:r>
    </w:p>
    <w:p>
      <w:pPr>
        <w:spacing w:line="360" w:lineRule="auto"/>
        <w:ind w:firstLine="492" w:firstLineChars="181"/>
        <w:rPr>
          <w:rStyle w:val="19"/>
          <w:rFonts w:ascii="仿宋_GB2312" w:hAnsi="楷体" w:eastAsia="仿宋_GB2312"/>
          <w:b w:val="0"/>
          <w:spacing w:val="-4"/>
          <w:sz w:val="28"/>
          <w:szCs w:val="28"/>
        </w:rPr>
      </w:pPr>
      <w:r>
        <w:rPr>
          <w:rStyle w:val="19"/>
          <w:rFonts w:hint="eastAsia" w:ascii="仿宋_GB2312" w:hAnsi="楷体" w:eastAsia="仿宋_GB2312"/>
          <w:b w:val="0"/>
          <w:spacing w:val="-4"/>
          <w:sz w:val="28"/>
          <w:szCs w:val="28"/>
        </w:rPr>
        <w:t>（</w:t>
      </w:r>
      <w:r>
        <w:rPr>
          <w:rStyle w:val="19"/>
          <w:rFonts w:ascii="仿宋_GB2312" w:hAnsi="楷体" w:eastAsia="仿宋_GB2312"/>
          <w:b w:val="0"/>
          <w:spacing w:val="-4"/>
          <w:sz w:val="28"/>
          <w:szCs w:val="28"/>
        </w:rPr>
        <w:t>2</w:t>
      </w:r>
      <w:r>
        <w:rPr>
          <w:rStyle w:val="19"/>
          <w:rFonts w:hint="eastAsia" w:ascii="仿宋_GB2312" w:hAnsi="楷体" w:eastAsia="仿宋_GB2312"/>
          <w:b w:val="0"/>
          <w:spacing w:val="-4"/>
          <w:sz w:val="28"/>
          <w:szCs w:val="28"/>
        </w:rPr>
        <w:t>）建立专项资金专帐，做到有据可依，有据可查。</w:t>
      </w:r>
    </w:p>
    <w:p>
      <w:pPr>
        <w:spacing w:line="360" w:lineRule="auto"/>
        <w:ind w:firstLine="492" w:firstLineChars="181"/>
        <w:rPr>
          <w:rStyle w:val="19"/>
          <w:rFonts w:ascii="仿宋_GB2312" w:hAnsi="楷体" w:eastAsia="仿宋_GB2312"/>
          <w:b w:val="0"/>
          <w:spacing w:val="-4"/>
          <w:sz w:val="28"/>
          <w:szCs w:val="28"/>
        </w:rPr>
      </w:pPr>
      <w:r>
        <w:rPr>
          <w:rStyle w:val="19"/>
          <w:rFonts w:hint="eastAsia" w:ascii="仿宋_GB2312" w:hAnsi="楷体" w:eastAsia="仿宋_GB2312"/>
          <w:b w:val="0"/>
          <w:spacing w:val="-4"/>
          <w:sz w:val="28"/>
          <w:szCs w:val="28"/>
        </w:rPr>
        <w:t>（3）制订了特克斯县委党校项目实施方案，确保项目顺利进行。</w:t>
      </w:r>
    </w:p>
    <w:p>
      <w:pPr>
        <w:spacing w:line="360" w:lineRule="auto"/>
        <w:ind w:firstLine="492" w:firstLineChars="181"/>
        <w:rPr>
          <w:rStyle w:val="19"/>
          <w:rFonts w:ascii="仿宋_GB2312" w:hAnsi="楷体" w:eastAsia="仿宋_GB2312"/>
          <w:b w:val="0"/>
          <w:spacing w:val="-4"/>
          <w:sz w:val="28"/>
          <w:szCs w:val="28"/>
        </w:rPr>
      </w:pPr>
      <w:r>
        <w:rPr>
          <w:rStyle w:val="19"/>
          <w:rFonts w:hint="eastAsia" w:ascii="仿宋_GB2312" w:hAnsi="楷体" w:eastAsia="仿宋_GB2312"/>
          <w:b w:val="0"/>
          <w:spacing w:val="-4"/>
          <w:sz w:val="28"/>
          <w:szCs w:val="28"/>
        </w:rPr>
        <w:t>（4）认真组织项目验收，确保项目顺利进行。</w:t>
      </w:r>
    </w:p>
    <w:p>
      <w:pPr>
        <w:spacing w:line="360" w:lineRule="auto"/>
        <w:ind w:firstLine="492" w:firstLineChars="181"/>
        <w:rPr>
          <w:rStyle w:val="19"/>
          <w:rFonts w:ascii="仿宋_GB2312" w:hAnsi="楷体" w:eastAsia="仿宋_GB2312"/>
          <w:b w:val="0"/>
          <w:spacing w:val="-4"/>
          <w:sz w:val="28"/>
          <w:szCs w:val="28"/>
        </w:rPr>
      </w:pPr>
      <w:r>
        <w:rPr>
          <w:rStyle w:val="19"/>
          <w:rFonts w:hint="eastAsia" w:ascii="仿宋_GB2312" w:hAnsi="楷体" w:eastAsia="仿宋_GB2312"/>
          <w:b w:val="0"/>
          <w:spacing w:val="-4"/>
          <w:sz w:val="28"/>
          <w:szCs w:val="28"/>
        </w:rPr>
        <w:t>专项资金涉及政府采购项目的，按照《特克斯县委党校采购与招标管理办法》组织人员制定采购计划，按照财政局采购部门批复，进行公开招标、邀请招标等方式进行。</w:t>
      </w:r>
    </w:p>
    <w:p>
      <w:pPr>
        <w:pStyle w:val="5"/>
        <w:spacing w:line="360" w:lineRule="auto"/>
        <w:rPr>
          <w:rFonts w:ascii="仿宋" w:hAnsi="仿宋" w:eastAsia="仿宋"/>
          <w:sz w:val="36"/>
          <w:szCs w:val="36"/>
        </w:rPr>
      </w:pPr>
      <w:r>
        <w:rPr>
          <w:rFonts w:hint="eastAsia" w:ascii="仿宋" w:hAnsi="仿宋" w:eastAsia="仿宋"/>
          <w:sz w:val="36"/>
          <w:szCs w:val="36"/>
        </w:rPr>
        <w:t>三、部门单位专项组织实施情况</w:t>
      </w:r>
      <w:bookmarkEnd w:id="17"/>
    </w:p>
    <w:p>
      <w:pPr>
        <w:spacing w:line="360" w:lineRule="auto"/>
        <w:ind w:firstLine="492" w:firstLineChars="181"/>
        <w:rPr>
          <w:rStyle w:val="19"/>
          <w:rFonts w:ascii="宋体" w:hAnsi="宋体" w:eastAsia="宋体"/>
          <w:color w:val="FF0000"/>
          <w:spacing w:val="-4"/>
          <w:sz w:val="28"/>
          <w:szCs w:val="28"/>
        </w:rPr>
      </w:pPr>
      <w:r>
        <w:rPr>
          <w:rStyle w:val="19"/>
          <w:rFonts w:hint="eastAsia" w:ascii="仿宋_GB2312" w:hAnsi="楷体" w:eastAsia="仿宋_GB2312"/>
          <w:b w:val="0"/>
          <w:spacing w:val="-4"/>
          <w:sz w:val="28"/>
          <w:szCs w:val="28"/>
        </w:rPr>
        <w:t>本单位2021年度未安排项目支出预算。</w:t>
      </w:r>
    </w:p>
    <w:p>
      <w:pPr>
        <w:pStyle w:val="5"/>
        <w:spacing w:line="360" w:lineRule="auto"/>
        <w:rPr>
          <w:rFonts w:ascii="仿宋" w:hAnsi="仿宋" w:eastAsia="仿宋"/>
          <w:sz w:val="36"/>
          <w:szCs w:val="36"/>
        </w:rPr>
      </w:pPr>
      <w:bookmarkStart w:id="20" w:name="_Toc70450310"/>
      <w:r>
        <w:rPr>
          <w:rFonts w:hint="eastAsia" w:ascii="仿宋" w:hAnsi="仿宋" w:eastAsia="仿宋"/>
          <w:sz w:val="36"/>
          <w:szCs w:val="36"/>
        </w:rPr>
        <w:t>四、资产管理情况</w:t>
      </w:r>
      <w:bookmarkEnd w:id="20"/>
    </w:p>
    <w:p>
      <w:pPr>
        <w:pStyle w:val="6"/>
        <w:spacing w:line="360" w:lineRule="auto"/>
        <w:rPr>
          <w:rStyle w:val="19"/>
          <w:rFonts w:ascii="仿宋" w:hAnsi="仿宋" w:eastAsia="仿宋"/>
          <w:b/>
          <w:bCs/>
        </w:rPr>
      </w:pPr>
      <w:bookmarkStart w:id="21" w:name="_Toc70450311"/>
      <w:r>
        <w:rPr>
          <w:rStyle w:val="19"/>
          <w:rFonts w:hint="eastAsia" w:ascii="仿宋" w:hAnsi="仿宋" w:eastAsia="仿宋"/>
          <w:b/>
          <w:bCs/>
        </w:rPr>
        <w:t>（一）资产配置情况</w:t>
      </w:r>
      <w:bookmarkEnd w:id="21"/>
    </w:p>
    <w:p>
      <w:pPr>
        <w:spacing w:line="360" w:lineRule="auto"/>
        <w:ind w:firstLine="544" w:firstLineChars="200"/>
        <w:rPr>
          <w:rStyle w:val="19"/>
          <w:rFonts w:ascii="仿宋_GB2312" w:hAnsi="宋体" w:eastAsia="仿宋_GB2312"/>
          <w:b w:val="0"/>
          <w:bCs w:val="0"/>
          <w:spacing w:val="-4"/>
          <w:sz w:val="28"/>
          <w:szCs w:val="28"/>
        </w:rPr>
      </w:pPr>
      <w:r>
        <w:rPr>
          <w:rStyle w:val="19"/>
          <w:rFonts w:hint="eastAsia" w:ascii="仿宋_GB2312" w:hAnsi="宋体" w:eastAsia="仿宋_GB2312"/>
          <w:b w:val="0"/>
          <w:bCs w:val="0"/>
          <w:spacing w:val="-4"/>
          <w:sz w:val="28"/>
          <w:szCs w:val="28"/>
        </w:rPr>
        <w:t>2021年我</w:t>
      </w:r>
      <w:r>
        <w:rPr>
          <w:rStyle w:val="19"/>
          <w:rFonts w:hint="eastAsia" w:ascii="仿宋_GB2312" w:hAnsi="楷体" w:eastAsia="仿宋_GB2312"/>
          <w:b w:val="0"/>
          <w:spacing w:val="-4"/>
          <w:sz w:val="28"/>
          <w:szCs w:val="28"/>
        </w:rPr>
        <w:t>单位</w:t>
      </w:r>
      <w:r>
        <w:rPr>
          <w:rStyle w:val="19"/>
          <w:rFonts w:hint="eastAsia" w:ascii="仿宋_GB2312" w:hAnsi="宋体" w:eastAsia="仿宋_GB2312"/>
          <w:b w:val="0"/>
          <w:bCs w:val="0"/>
          <w:spacing w:val="-4"/>
          <w:sz w:val="28"/>
          <w:szCs w:val="28"/>
        </w:rPr>
        <w:t>资产总额769.28万元，其中流动资产0万元，固定资产净值663.45万元（其中：土地、房屋及构筑物639.77万元，占固定资产净值的83.16%；通用设备36.45万元，占固定资产净值的4.74%；专用设备6.11万元，占固定资产净值的0.8%；图书22万，占固定资产净值的2.86%，家具、用具64.94万元，占固定资产净值的8.44%）。</w:t>
      </w:r>
    </w:p>
    <w:p>
      <w:pPr>
        <w:spacing w:line="360" w:lineRule="auto"/>
        <w:ind w:firstLine="544" w:firstLineChars="200"/>
        <w:rPr>
          <w:rStyle w:val="19"/>
          <w:rFonts w:ascii="仿宋_GB2312" w:hAnsi="宋体" w:eastAsia="仿宋_GB2312"/>
          <w:b w:val="0"/>
          <w:bCs w:val="0"/>
          <w:spacing w:val="-4"/>
          <w:sz w:val="28"/>
          <w:szCs w:val="28"/>
        </w:rPr>
      </w:pPr>
      <w:r>
        <w:rPr>
          <w:rStyle w:val="19"/>
          <w:rFonts w:hint="eastAsia" w:ascii="仿宋_GB2312" w:hAnsi="宋体" w:eastAsia="仿宋_GB2312"/>
          <w:b w:val="0"/>
          <w:bCs w:val="0"/>
          <w:spacing w:val="-4"/>
          <w:sz w:val="28"/>
          <w:szCs w:val="28"/>
        </w:rPr>
        <w:t>本年度流动资产0万元，比上年增加0万元，原因是：本年无变化  。</w:t>
      </w:r>
    </w:p>
    <w:p>
      <w:pPr>
        <w:spacing w:line="360" w:lineRule="auto"/>
        <w:ind w:firstLine="544" w:firstLineChars="200"/>
        <w:rPr>
          <w:rStyle w:val="19"/>
          <w:rFonts w:ascii="仿宋_GB2312" w:hAnsi="宋体" w:eastAsia="仿宋_GB2312"/>
          <w:b w:val="0"/>
          <w:bCs w:val="0"/>
          <w:spacing w:val="-4"/>
          <w:sz w:val="28"/>
          <w:szCs w:val="28"/>
        </w:rPr>
      </w:pPr>
      <w:r>
        <w:rPr>
          <w:rStyle w:val="19"/>
          <w:rFonts w:hint="eastAsia" w:ascii="仿宋_GB2312" w:hAnsi="宋体" w:eastAsia="仿宋_GB2312"/>
          <w:b w:val="0"/>
          <w:bCs w:val="0"/>
          <w:spacing w:val="-4"/>
          <w:sz w:val="28"/>
          <w:szCs w:val="28"/>
        </w:rPr>
        <w:t>本年度固定资产769.28万元，比上年减少1.57万元，原因是：财政将原党校部分固定资产划拨给职业技术学校  。</w:t>
      </w:r>
    </w:p>
    <w:p>
      <w:pPr>
        <w:snapToGrid w:val="0"/>
        <w:spacing w:line="360" w:lineRule="auto"/>
        <w:ind w:firstLine="544" w:firstLineChars="200"/>
        <w:rPr>
          <w:rStyle w:val="19"/>
          <w:rFonts w:ascii="宋体" w:hAnsi="宋体" w:eastAsia="宋体"/>
          <w:bCs w:val="0"/>
          <w:color w:val="FF0000"/>
          <w:spacing w:val="-4"/>
          <w:sz w:val="28"/>
          <w:szCs w:val="28"/>
        </w:rPr>
      </w:pPr>
      <w:r>
        <w:rPr>
          <w:rStyle w:val="19"/>
          <w:rFonts w:hint="eastAsia" w:ascii="仿宋_GB2312" w:hAnsi="宋体" w:eastAsia="仿宋_GB2312"/>
          <w:b w:val="0"/>
          <w:bCs w:val="0"/>
          <w:spacing w:val="-4"/>
          <w:sz w:val="28"/>
          <w:szCs w:val="28"/>
        </w:rPr>
        <w:t>实际在用固定资产663.45万元，固定资产利用率86.24%。</w:t>
      </w:r>
    </w:p>
    <w:p>
      <w:pPr>
        <w:pStyle w:val="6"/>
        <w:spacing w:line="360" w:lineRule="auto"/>
        <w:rPr>
          <w:rStyle w:val="19"/>
          <w:rFonts w:ascii="仿宋" w:hAnsi="仿宋" w:eastAsia="仿宋"/>
          <w:b/>
          <w:bCs/>
        </w:rPr>
      </w:pPr>
      <w:bookmarkStart w:id="22" w:name="_Toc70450312"/>
      <w:r>
        <w:rPr>
          <w:rStyle w:val="19"/>
          <w:rFonts w:hint="eastAsia" w:ascii="仿宋" w:hAnsi="仿宋" w:eastAsia="仿宋"/>
          <w:b/>
          <w:bCs/>
        </w:rPr>
        <w:t>（二）资产管理情况</w:t>
      </w:r>
      <w:bookmarkEnd w:id="22"/>
    </w:p>
    <w:p>
      <w:pPr>
        <w:snapToGrid w:val="0"/>
        <w:spacing w:line="360" w:lineRule="auto"/>
        <w:ind w:firstLine="544" w:firstLineChars="200"/>
        <w:rPr>
          <w:rStyle w:val="19"/>
          <w:rFonts w:ascii="仿宋_GB2312" w:hAnsi="宋体" w:eastAsia="仿宋_GB2312"/>
          <w:b w:val="0"/>
          <w:bCs w:val="0"/>
          <w:spacing w:val="-4"/>
          <w:sz w:val="28"/>
          <w:szCs w:val="28"/>
        </w:rPr>
      </w:pPr>
      <w:r>
        <w:rPr>
          <w:rStyle w:val="19"/>
          <w:rFonts w:hint="eastAsia" w:ascii="仿宋_GB2312" w:hAnsi="宋体" w:eastAsia="仿宋_GB2312"/>
          <w:b w:val="0"/>
          <w:bCs w:val="0"/>
          <w:spacing w:val="-4"/>
          <w:sz w:val="28"/>
          <w:szCs w:val="28"/>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napToGrid w:val="0"/>
        <w:spacing w:line="360" w:lineRule="auto"/>
        <w:ind w:firstLine="544" w:firstLineChars="200"/>
        <w:rPr>
          <w:rStyle w:val="19"/>
          <w:rFonts w:ascii="仿宋_GB2312" w:hAnsi="宋体" w:eastAsia="仿宋_GB2312"/>
          <w:b w:val="0"/>
          <w:bCs w:val="0"/>
          <w:spacing w:val="-4"/>
          <w:sz w:val="28"/>
          <w:szCs w:val="28"/>
        </w:rPr>
      </w:pPr>
      <w:r>
        <w:rPr>
          <w:rStyle w:val="19"/>
          <w:rFonts w:hint="eastAsia" w:ascii="仿宋_GB2312" w:hAnsi="宋体" w:eastAsia="仿宋_GB2312"/>
          <w:b w:val="0"/>
          <w:bCs w:val="0"/>
          <w:spacing w:val="-4"/>
          <w:sz w:val="28"/>
          <w:szCs w:val="28"/>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snapToGrid w:val="0"/>
        <w:spacing w:line="360" w:lineRule="auto"/>
        <w:ind w:firstLine="544" w:firstLineChars="200"/>
        <w:rPr>
          <w:rStyle w:val="19"/>
          <w:rFonts w:ascii="仿宋_GB2312" w:hAnsi="宋体" w:eastAsia="仿宋_GB2312"/>
          <w:b w:val="0"/>
          <w:spacing w:val="-4"/>
          <w:sz w:val="28"/>
          <w:szCs w:val="28"/>
        </w:rPr>
      </w:pPr>
    </w:p>
    <w:p>
      <w:pPr>
        <w:pStyle w:val="5"/>
        <w:spacing w:line="360" w:lineRule="auto"/>
        <w:rPr>
          <w:rFonts w:ascii="仿宋" w:hAnsi="仿宋" w:eastAsia="仿宋"/>
          <w:sz w:val="36"/>
          <w:szCs w:val="36"/>
        </w:rPr>
      </w:pPr>
      <w:bookmarkStart w:id="23" w:name="_Toc70450313"/>
      <w:r>
        <w:rPr>
          <w:rFonts w:hint="eastAsia" w:ascii="仿宋" w:hAnsi="仿宋" w:eastAsia="仿宋"/>
          <w:sz w:val="36"/>
          <w:szCs w:val="36"/>
        </w:rPr>
        <w:t>五、部门单位整体支出绩效情况</w:t>
      </w:r>
      <w:bookmarkEnd w:id="23"/>
    </w:p>
    <w:p>
      <w:pPr>
        <w:pStyle w:val="6"/>
        <w:spacing w:line="360" w:lineRule="auto"/>
        <w:ind w:firstLine="643" w:firstLineChars="200"/>
        <w:rPr>
          <w:rStyle w:val="19"/>
          <w:rFonts w:ascii="仿宋" w:hAnsi="仿宋" w:eastAsia="仿宋"/>
          <w:b/>
          <w:bCs/>
        </w:rPr>
      </w:pPr>
      <w:bookmarkStart w:id="24" w:name="_Toc70450314"/>
      <w:r>
        <w:rPr>
          <w:rStyle w:val="19"/>
          <w:rFonts w:hint="eastAsia" w:ascii="仿宋" w:hAnsi="仿宋" w:eastAsia="仿宋"/>
          <w:b/>
          <w:bCs/>
        </w:rPr>
        <w:t>（一）经济效益评价</w:t>
      </w:r>
      <w:bookmarkEnd w:id="24"/>
    </w:p>
    <w:p>
      <w:pPr>
        <w:spacing w:line="360" w:lineRule="auto"/>
        <w:ind w:firstLine="544" w:firstLineChars="200"/>
        <w:rPr>
          <w:rStyle w:val="19"/>
          <w:rFonts w:ascii="仿宋_GB2312" w:hAnsi="宋体" w:eastAsia="仿宋_GB2312"/>
          <w:b w:val="0"/>
          <w:bCs w:val="0"/>
          <w:spacing w:val="-4"/>
          <w:sz w:val="28"/>
          <w:szCs w:val="28"/>
        </w:rPr>
      </w:pPr>
      <w:r>
        <w:rPr>
          <w:rStyle w:val="19"/>
          <w:rFonts w:hint="eastAsia" w:ascii="仿宋_GB2312" w:hAnsi="宋体" w:eastAsia="仿宋_GB2312"/>
          <w:b w:val="0"/>
          <w:bCs w:val="0"/>
          <w:spacing w:val="-4"/>
          <w:sz w:val="28"/>
          <w:szCs w:val="28"/>
        </w:rPr>
        <w:t>2021年度我单位年初预算安排181.18万元，年中调整183.96万元，截止12月底支出365.14万元，执行率100%。</w:t>
      </w:r>
    </w:p>
    <w:p>
      <w:pPr>
        <w:spacing w:line="360" w:lineRule="auto"/>
        <w:ind w:firstLine="544" w:firstLineChars="200"/>
        <w:rPr>
          <w:rStyle w:val="19"/>
          <w:rFonts w:ascii="仿宋_GB2312" w:hAnsi="宋体" w:eastAsia="仿宋_GB2312"/>
          <w:b w:val="0"/>
          <w:bCs w:val="0"/>
          <w:spacing w:val="-4"/>
          <w:sz w:val="28"/>
          <w:szCs w:val="28"/>
        </w:rPr>
      </w:pPr>
      <w:r>
        <w:rPr>
          <w:rStyle w:val="19"/>
          <w:rFonts w:ascii="仿宋_GB2312" w:hAnsi="宋体" w:eastAsia="仿宋_GB2312"/>
          <w:b w:val="0"/>
          <w:bCs w:val="0"/>
          <w:spacing w:val="-4"/>
          <w:sz w:val="28"/>
          <w:szCs w:val="28"/>
        </w:rPr>
        <w:t>1</w:t>
      </w:r>
      <w:r>
        <w:rPr>
          <w:rStyle w:val="19"/>
          <w:rFonts w:hint="eastAsia" w:ascii="仿宋_GB2312" w:hAnsi="宋体" w:eastAsia="仿宋_GB2312"/>
          <w:b w:val="0"/>
          <w:bCs w:val="0"/>
          <w:spacing w:val="-4"/>
          <w:sz w:val="28"/>
          <w:szCs w:val="28"/>
        </w:rPr>
        <w:t>、预算资金执行过程中均按照年初预算分配情况均做到专款专用，未出现资金侵、挪占情况。</w:t>
      </w:r>
    </w:p>
    <w:p>
      <w:pPr>
        <w:spacing w:line="360" w:lineRule="auto"/>
        <w:ind w:firstLine="544" w:firstLineChars="200"/>
        <w:rPr>
          <w:rStyle w:val="19"/>
          <w:rFonts w:ascii="仿宋_GB2312" w:hAnsi="宋体" w:eastAsia="仿宋_GB2312"/>
          <w:b w:val="0"/>
          <w:bCs w:val="0"/>
          <w:spacing w:val="-4"/>
          <w:sz w:val="28"/>
          <w:szCs w:val="28"/>
        </w:rPr>
      </w:pPr>
      <w:r>
        <w:rPr>
          <w:rStyle w:val="19"/>
          <w:rFonts w:ascii="仿宋_GB2312" w:hAnsi="宋体" w:eastAsia="仿宋_GB2312"/>
          <w:b w:val="0"/>
          <w:bCs w:val="0"/>
          <w:spacing w:val="-4"/>
          <w:sz w:val="28"/>
          <w:szCs w:val="28"/>
        </w:rPr>
        <w:t>2</w:t>
      </w:r>
      <w:r>
        <w:rPr>
          <w:rStyle w:val="19"/>
          <w:rFonts w:hint="eastAsia" w:ascii="仿宋_GB2312" w:hAnsi="宋体" w:eastAsia="仿宋_GB2312"/>
          <w:b w:val="0"/>
          <w:bCs w:val="0"/>
          <w:spacing w:val="-4"/>
          <w:sz w:val="28"/>
          <w:szCs w:val="28"/>
        </w:rPr>
        <w:t>、全年按照部门预算进行成本控制，全部控制在厉行节约指标数内。其他支出按财政部门下达的计划实施，全年没有项目超支。</w:t>
      </w:r>
    </w:p>
    <w:p>
      <w:pPr>
        <w:pStyle w:val="6"/>
        <w:spacing w:line="360" w:lineRule="auto"/>
        <w:ind w:firstLine="643" w:firstLineChars="200"/>
        <w:rPr>
          <w:rStyle w:val="19"/>
          <w:rFonts w:ascii="仿宋" w:hAnsi="仿宋" w:eastAsia="仿宋"/>
          <w:b/>
          <w:bCs/>
        </w:rPr>
      </w:pPr>
      <w:bookmarkStart w:id="25" w:name="_Toc70450315"/>
      <w:r>
        <w:rPr>
          <w:rStyle w:val="19"/>
          <w:rFonts w:hint="eastAsia" w:ascii="仿宋" w:hAnsi="仿宋" w:eastAsia="仿宋"/>
          <w:b/>
          <w:bCs/>
        </w:rPr>
        <w:t>（二）效率性评价</w:t>
      </w:r>
      <w:bookmarkEnd w:id="25"/>
    </w:p>
    <w:p>
      <w:pPr>
        <w:spacing w:line="360" w:lineRule="auto"/>
        <w:ind w:firstLine="544" w:firstLineChars="200"/>
        <w:rPr>
          <w:rStyle w:val="19"/>
          <w:rFonts w:ascii="仿宋_GB2312" w:hAnsi="宋体" w:eastAsia="仿宋_GB2312"/>
          <w:b w:val="0"/>
          <w:bCs w:val="0"/>
          <w:spacing w:val="-4"/>
          <w:sz w:val="28"/>
          <w:szCs w:val="28"/>
        </w:rPr>
      </w:pPr>
      <w:r>
        <w:rPr>
          <w:rStyle w:val="19"/>
          <w:rFonts w:hint="eastAsia" w:ascii="仿宋_GB2312" w:hAnsi="宋体" w:eastAsia="仿宋_GB2312"/>
          <w:b w:val="0"/>
          <w:bCs w:val="0"/>
          <w:spacing w:val="-4"/>
          <w:sz w:val="28"/>
          <w:szCs w:val="28"/>
        </w:rPr>
        <w:t>2021年，在县委的大力支持和正确领导下，我单位迎难而上、务实重干，积极推动各项工作取得了新的进展，为促进经济持续健康发展与社会和谐稳定提供了有力的支撑和保障。</w:t>
      </w:r>
    </w:p>
    <w:p>
      <w:pPr>
        <w:spacing w:line="360" w:lineRule="auto"/>
        <w:ind w:firstLine="544" w:firstLineChars="200"/>
        <w:rPr>
          <w:rStyle w:val="19"/>
          <w:rFonts w:ascii="仿宋_GB2312" w:hAnsi="宋体" w:eastAsia="仿宋_GB2312"/>
          <w:b w:val="0"/>
          <w:bCs w:val="0"/>
          <w:spacing w:val="-4"/>
          <w:sz w:val="28"/>
          <w:szCs w:val="28"/>
        </w:rPr>
      </w:pPr>
      <w:r>
        <w:rPr>
          <w:rStyle w:val="19"/>
          <w:rFonts w:hint="eastAsia" w:ascii="仿宋_GB2312" w:hAnsi="宋体" w:eastAsia="仿宋_GB2312"/>
          <w:b w:val="0"/>
          <w:bCs w:val="0"/>
          <w:spacing w:val="-4"/>
          <w:sz w:val="28"/>
          <w:szCs w:val="28"/>
        </w:rPr>
        <w:t>1、圆满完成宣讲工作</w:t>
      </w:r>
    </w:p>
    <w:p>
      <w:pPr>
        <w:spacing w:line="360" w:lineRule="auto"/>
        <w:ind w:firstLine="544" w:firstLineChars="200"/>
        <w:rPr>
          <w:rStyle w:val="19"/>
          <w:rFonts w:ascii="仿宋_GB2312" w:hAnsi="宋体" w:eastAsia="仿宋_GB2312" w:cs="Times New Roman"/>
          <w:b w:val="0"/>
          <w:bCs w:val="0"/>
          <w:spacing w:val="-4"/>
          <w:sz w:val="28"/>
          <w:szCs w:val="28"/>
        </w:rPr>
      </w:pPr>
      <w:r>
        <w:rPr>
          <w:rStyle w:val="19"/>
          <w:rFonts w:hint="eastAsia" w:ascii="仿宋_GB2312" w:hAnsi="宋体" w:eastAsia="仿宋_GB2312" w:cs="Times New Roman"/>
          <w:b w:val="0"/>
          <w:bCs w:val="0"/>
          <w:spacing w:val="-4"/>
          <w:sz w:val="28"/>
          <w:szCs w:val="28"/>
        </w:rPr>
        <w:t>今年以来，我校分别在1月和7月，选派了4名骨干教师，和宣传部组成两个宣讲团，开展送课下基层、进机关（村、社区）等专题宣讲活动，宣讲内容包括十九届五中全会、第三次中央新疆工作座谈会、民法典、党史、习总书记“七一”重要讲话精神，共宣讲32场次，听课干部群众达2000余人，宣讲达到预期效果。</w:t>
      </w:r>
    </w:p>
    <w:p>
      <w:pPr>
        <w:tabs>
          <w:tab w:val="left" w:pos="312"/>
        </w:tabs>
        <w:spacing w:line="360" w:lineRule="auto"/>
        <w:ind w:firstLine="544" w:firstLineChars="200"/>
        <w:rPr>
          <w:rStyle w:val="19"/>
          <w:rFonts w:ascii="仿宋_GB2312" w:hAnsi="宋体" w:eastAsia="仿宋_GB2312"/>
          <w:b w:val="0"/>
          <w:bCs w:val="0"/>
          <w:spacing w:val="-4"/>
          <w:sz w:val="28"/>
          <w:szCs w:val="28"/>
        </w:rPr>
      </w:pPr>
      <w:r>
        <w:rPr>
          <w:rStyle w:val="19"/>
          <w:rFonts w:ascii="仿宋_GB2312" w:hAnsi="宋体" w:eastAsia="仿宋_GB2312"/>
          <w:b w:val="0"/>
          <w:bCs w:val="0"/>
          <w:spacing w:val="-4"/>
          <w:sz w:val="28"/>
          <w:szCs w:val="28"/>
        </w:rPr>
        <w:t>2</w:t>
      </w:r>
      <w:r>
        <w:rPr>
          <w:rStyle w:val="19"/>
          <w:rFonts w:hint="eastAsia" w:ascii="仿宋_GB2312" w:hAnsi="宋体" w:eastAsia="仿宋_GB2312"/>
          <w:b w:val="0"/>
          <w:bCs w:val="0"/>
          <w:spacing w:val="-4"/>
          <w:sz w:val="28"/>
          <w:szCs w:val="28"/>
        </w:rPr>
        <w:t>、培训任务提前完成</w:t>
      </w:r>
    </w:p>
    <w:p>
      <w:pPr>
        <w:spacing w:line="360" w:lineRule="auto"/>
        <w:ind w:firstLine="544" w:firstLineChars="200"/>
        <w:rPr>
          <w:rStyle w:val="19"/>
          <w:rFonts w:ascii="仿宋_GB2312" w:hAnsi="宋体" w:eastAsia="仿宋_GB2312" w:cs="Times New Roman"/>
          <w:b w:val="0"/>
          <w:bCs w:val="0"/>
          <w:spacing w:val="-4"/>
          <w:sz w:val="28"/>
          <w:szCs w:val="28"/>
        </w:rPr>
      </w:pPr>
      <w:r>
        <w:rPr>
          <w:rStyle w:val="19"/>
          <w:rFonts w:hint="eastAsia" w:ascii="仿宋_GB2312" w:hAnsi="宋体" w:eastAsia="仿宋_GB2312" w:cs="Times New Roman"/>
          <w:b w:val="0"/>
          <w:bCs w:val="0"/>
          <w:spacing w:val="-4"/>
          <w:sz w:val="28"/>
          <w:szCs w:val="28"/>
        </w:rPr>
        <w:t xml:space="preserve">根据全年干部教育培训计划，全年共开办5个精品主体班次，进一步增强年轻干部、中青年干部和新提任村干部培训力度，精心搭建学习、锻炼和成长平台，系统推进优秀年轻干部成长。健全完善各项教学管理制度，并通过专题教学、实地调研、社会实践等多种形式相结合的方式，增强学习效果。截止目前，共举办各类培训班次19期，培训1278人次。 </w:t>
      </w:r>
    </w:p>
    <w:p>
      <w:pPr>
        <w:pStyle w:val="6"/>
        <w:spacing w:line="360" w:lineRule="auto"/>
        <w:ind w:firstLine="643" w:firstLineChars="200"/>
        <w:rPr>
          <w:rStyle w:val="19"/>
          <w:rFonts w:ascii="仿宋" w:hAnsi="仿宋" w:eastAsia="仿宋"/>
          <w:b/>
          <w:bCs/>
        </w:rPr>
      </w:pPr>
      <w:bookmarkStart w:id="26" w:name="_Toc70450316"/>
      <w:r>
        <w:rPr>
          <w:rStyle w:val="19"/>
          <w:rFonts w:hint="eastAsia" w:ascii="仿宋" w:hAnsi="仿宋" w:eastAsia="仿宋"/>
          <w:b/>
          <w:bCs/>
        </w:rPr>
        <w:t>（三）有效性评价</w:t>
      </w:r>
      <w:bookmarkEnd w:id="26"/>
    </w:p>
    <w:p>
      <w:pPr>
        <w:spacing w:line="360" w:lineRule="auto"/>
        <w:ind w:firstLine="544" w:firstLineChars="200"/>
        <w:rPr>
          <w:rStyle w:val="19"/>
          <w:rFonts w:ascii="仿宋_GB2312" w:hAnsi="宋体" w:eastAsia="仿宋_GB2312" w:cs="Times New Roman"/>
          <w:b w:val="0"/>
          <w:bCs w:val="0"/>
          <w:spacing w:val="-4"/>
          <w:sz w:val="28"/>
          <w:szCs w:val="28"/>
        </w:rPr>
      </w:pPr>
      <w:r>
        <w:rPr>
          <w:rStyle w:val="19"/>
          <w:rFonts w:hint="eastAsia" w:ascii="仿宋_GB2312" w:hAnsi="宋体" w:eastAsia="仿宋_GB2312" w:cs="Times New Roman"/>
          <w:b w:val="0"/>
          <w:bCs w:val="0"/>
          <w:spacing w:val="-4"/>
          <w:sz w:val="28"/>
          <w:szCs w:val="28"/>
        </w:rPr>
        <w:t>2021年部门支出的有效性主要体现在我单位各项工作成效上，一是培训工作进一步夯实，二是培训能力进一步提升，三是教学环境进一步改善，四是培训成效进一步提高，详细情况如下：</w:t>
      </w:r>
    </w:p>
    <w:p>
      <w:pPr>
        <w:spacing w:line="360" w:lineRule="auto"/>
        <w:ind w:firstLine="544" w:firstLineChars="200"/>
        <w:rPr>
          <w:rStyle w:val="19"/>
          <w:rFonts w:ascii="仿宋_GB2312" w:hAnsi="宋体" w:eastAsia="仿宋_GB2312" w:cs="Times New Roman"/>
          <w:b w:val="0"/>
          <w:bCs w:val="0"/>
          <w:spacing w:val="-4"/>
          <w:sz w:val="28"/>
          <w:szCs w:val="28"/>
        </w:rPr>
      </w:pPr>
      <w:r>
        <w:rPr>
          <w:rStyle w:val="19"/>
          <w:rFonts w:hint="eastAsia" w:ascii="仿宋_GB2312" w:hAnsi="宋体" w:eastAsia="仿宋_GB2312" w:cs="Times New Roman"/>
          <w:b w:val="0"/>
          <w:bCs w:val="0"/>
          <w:spacing w:val="-4"/>
          <w:sz w:val="28"/>
          <w:szCs w:val="28"/>
        </w:rPr>
        <w:t>中共特克斯县委员会党校部门单位整体绩效目标共设置一级指标2个，二级指标6个，三级指标11个，详细说明如下</w:t>
      </w:r>
    </w:p>
    <w:p>
      <w:pPr>
        <w:spacing w:line="360" w:lineRule="auto"/>
        <w:ind w:firstLine="544" w:firstLineChars="200"/>
        <w:rPr>
          <w:rStyle w:val="19"/>
          <w:rFonts w:ascii="仿宋_GB2312" w:hAnsi="宋体" w:eastAsia="仿宋_GB2312" w:cs="Times New Roman"/>
          <w:b w:val="0"/>
          <w:bCs w:val="0"/>
          <w:spacing w:val="-4"/>
          <w:sz w:val="28"/>
          <w:szCs w:val="28"/>
          <w:shd w:val="clear" w:color="auto" w:fill="FFFFFF" w:themeFill="background1"/>
        </w:rPr>
      </w:pPr>
      <w:r>
        <w:rPr>
          <w:rStyle w:val="19"/>
          <w:rFonts w:hint="eastAsia" w:ascii="仿宋_GB2312" w:hAnsi="宋体" w:eastAsia="仿宋_GB2312" w:cs="Times New Roman"/>
          <w:b w:val="0"/>
          <w:bCs w:val="0"/>
          <w:spacing w:val="-4"/>
          <w:sz w:val="28"/>
          <w:szCs w:val="28"/>
          <w:shd w:val="clear" w:color="auto" w:fill="FFFFFF" w:themeFill="background1"/>
        </w:rPr>
        <w:t>1、数量指标：</w:t>
      </w:r>
    </w:p>
    <w:p>
      <w:pPr>
        <w:spacing w:line="360" w:lineRule="auto"/>
        <w:ind w:firstLine="544" w:firstLineChars="200"/>
        <w:rPr>
          <w:rStyle w:val="19"/>
          <w:rFonts w:ascii="仿宋_GB2312" w:hAnsi="宋体" w:eastAsia="仿宋_GB2312" w:cs="Times New Roman"/>
          <w:b w:val="0"/>
          <w:bCs w:val="0"/>
          <w:spacing w:val="-4"/>
          <w:sz w:val="28"/>
          <w:szCs w:val="28"/>
          <w:shd w:val="clear" w:color="auto" w:fill="FFFFFF" w:themeFill="background1"/>
        </w:rPr>
      </w:pPr>
      <w:r>
        <w:rPr>
          <w:rStyle w:val="19"/>
          <w:rFonts w:hint="eastAsia" w:ascii="仿宋_GB2312" w:hAnsi="宋体" w:eastAsia="仿宋_GB2312" w:cs="Times New Roman"/>
          <w:b w:val="0"/>
          <w:bCs w:val="0"/>
          <w:spacing w:val="-4"/>
          <w:sz w:val="28"/>
          <w:szCs w:val="28"/>
          <w:shd w:val="clear" w:color="auto" w:fill="FFFFFF" w:themeFill="background1"/>
        </w:rPr>
        <w:t>指标1：培训学员人数 ，指标值：≥2000人，实际完成值：2000人，指标完成率100%；</w:t>
      </w:r>
    </w:p>
    <w:p>
      <w:pPr>
        <w:spacing w:line="360" w:lineRule="auto"/>
        <w:ind w:firstLine="544" w:firstLineChars="200"/>
        <w:rPr>
          <w:rStyle w:val="19"/>
          <w:rFonts w:ascii="仿宋_GB2312" w:hAnsi="宋体" w:eastAsia="仿宋_GB2312" w:cs="Times New Roman"/>
          <w:b w:val="0"/>
          <w:bCs w:val="0"/>
          <w:spacing w:val="-4"/>
          <w:sz w:val="28"/>
          <w:szCs w:val="28"/>
          <w:shd w:val="clear" w:color="auto" w:fill="FFFFFF" w:themeFill="background1"/>
        </w:rPr>
      </w:pPr>
      <w:r>
        <w:rPr>
          <w:rStyle w:val="19"/>
          <w:rFonts w:hint="eastAsia" w:ascii="仿宋_GB2312" w:hAnsi="宋体" w:eastAsia="仿宋_GB2312" w:cs="Times New Roman"/>
          <w:b w:val="0"/>
          <w:bCs w:val="0"/>
          <w:spacing w:val="-4"/>
          <w:sz w:val="28"/>
          <w:szCs w:val="28"/>
          <w:shd w:val="clear" w:color="auto" w:fill="FFFFFF" w:themeFill="background1"/>
        </w:rPr>
        <w:t>指标2：保障在职工资人数  ，指标值：≥15人，实际完成值：15人  ，指标完成率100%；</w:t>
      </w:r>
    </w:p>
    <w:p>
      <w:pPr>
        <w:spacing w:line="360" w:lineRule="auto"/>
        <w:ind w:firstLine="544" w:firstLineChars="200"/>
        <w:rPr>
          <w:rStyle w:val="19"/>
          <w:rFonts w:ascii="仿宋_GB2312" w:hAnsi="宋体" w:eastAsia="仿宋_GB2312" w:cs="Times New Roman"/>
          <w:b w:val="0"/>
          <w:bCs w:val="0"/>
          <w:spacing w:val="-4"/>
          <w:sz w:val="28"/>
          <w:szCs w:val="28"/>
          <w:shd w:val="clear" w:color="auto" w:fill="FFFFFF" w:themeFill="background1"/>
        </w:rPr>
      </w:pPr>
      <w:r>
        <w:rPr>
          <w:rStyle w:val="19"/>
          <w:rFonts w:hint="eastAsia" w:ascii="仿宋_GB2312" w:hAnsi="宋体" w:eastAsia="仿宋_GB2312" w:cs="Times New Roman"/>
          <w:b w:val="0"/>
          <w:bCs w:val="0"/>
          <w:spacing w:val="-4"/>
          <w:sz w:val="28"/>
          <w:szCs w:val="28"/>
          <w:shd w:val="clear" w:color="auto" w:fill="FFFFFF" w:themeFill="background1"/>
        </w:rPr>
        <w:t>2、质量指标：</w:t>
      </w:r>
    </w:p>
    <w:p>
      <w:pPr>
        <w:spacing w:line="360" w:lineRule="auto"/>
        <w:ind w:firstLine="544" w:firstLineChars="200"/>
        <w:rPr>
          <w:rStyle w:val="19"/>
          <w:rFonts w:ascii="仿宋_GB2312" w:hAnsi="宋体" w:eastAsia="仿宋_GB2312" w:cs="Times New Roman"/>
          <w:b w:val="0"/>
          <w:bCs w:val="0"/>
          <w:spacing w:val="-4"/>
          <w:sz w:val="28"/>
          <w:szCs w:val="28"/>
          <w:shd w:val="clear" w:color="auto" w:fill="FFFFFF" w:themeFill="background1"/>
        </w:rPr>
      </w:pPr>
      <w:r>
        <w:rPr>
          <w:rStyle w:val="19"/>
          <w:rFonts w:hint="eastAsia" w:ascii="仿宋_GB2312" w:hAnsi="宋体" w:eastAsia="仿宋_GB2312" w:cs="Times New Roman"/>
          <w:b w:val="0"/>
          <w:bCs w:val="0"/>
          <w:spacing w:val="-4"/>
          <w:sz w:val="28"/>
          <w:szCs w:val="28"/>
          <w:shd w:val="clear" w:color="auto" w:fill="FFFFFF" w:themeFill="background1"/>
        </w:rPr>
        <w:t xml:space="preserve">指标1：人员工资及社保发放准确率 ，指标值： </w:t>
      </w:r>
      <w:r>
        <w:rPr>
          <w:rStyle w:val="19"/>
          <w:rFonts w:ascii="仿宋_GB2312" w:hAnsi="宋体" w:eastAsia="仿宋_GB2312" w:cs="Times New Roman"/>
          <w:b w:val="0"/>
          <w:bCs w:val="0"/>
          <w:spacing w:val="-4"/>
          <w:sz w:val="28"/>
          <w:szCs w:val="28"/>
          <w:shd w:val="clear" w:color="auto" w:fill="FFFFFF" w:themeFill="background1"/>
        </w:rPr>
        <w:t>=100%</w:t>
      </w:r>
      <w:r>
        <w:rPr>
          <w:rStyle w:val="19"/>
          <w:rFonts w:hint="eastAsia" w:ascii="仿宋_GB2312" w:hAnsi="宋体" w:eastAsia="仿宋_GB2312" w:cs="Times New Roman"/>
          <w:b w:val="0"/>
          <w:bCs w:val="0"/>
          <w:spacing w:val="-4"/>
          <w:sz w:val="28"/>
          <w:szCs w:val="28"/>
          <w:shd w:val="clear" w:color="auto" w:fill="FFFFFF" w:themeFill="background1"/>
        </w:rPr>
        <w:t xml:space="preserve"> ，实际完成值：100%</w:t>
      </w:r>
      <w:bookmarkStart w:id="33" w:name="_GoBack"/>
      <w:bookmarkEnd w:id="33"/>
      <w:r>
        <w:rPr>
          <w:rStyle w:val="19"/>
          <w:rFonts w:hint="eastAsia" w:ascii="仿宋_GB2312" w:hAnsi="宋体" w:eastAsia="仿宋_GB2312" w:cs="Times New Roman"/>
          <w:b w:val="0"/>
          <w:bCs w:val="0"/>
          <w:spacing w:val="-4"/>
          <w:sz w:val="28"/>
          <w:szCs w:val="28"/>
          <w:shd w:val="clear" w:color="auto" w:fill="FFFFFF" w:themeFill="background1"/>
        </w:rPr>
        <w:t>，指标完成率100%；</w:t>
      </w:r>
    </w:p>
    <w:p>
      <w:pPr>
        <w:spacing w:line="360" w:lineRule="auto"/>
        <w:ind w:firstLine="544" w:firstLineChars="200"/>
        <w:rPr>
          <w:rStyle w:val="19"/>
          <w:rFonts w:ascii="仿宋_GB2312" w:hAnsi="宋体" w:eastAsia="仿宋_GB2312" w:cs="Times New Roman"/>
          <w:b w:val="0"/>
          <w:bCs w:val="0"/>
          <w:spacing w:val="-4"/>
          <w:sz w:val="28"/>
          <w:szCs w:val="28"/>
          <w:shd w:val="clear" w:color="auto" w:fill="FFFFFF" w:themeFill="background1"/>
        </w:rPr>
      </w:pPr>
      <w:r>
        <w:rPr>
          <w:rStyle w:val="19"/>
          <w:rFonts w:hint="eastAsia" w:ascii="仿宋_GB2312" w:hAnsi="宋体" w:eastAsia="仿宋_GB2312" w:cs="Times New Roman"/>
          <w:b w:val="0"/>
          <w:bCs w:val="0"/>
          <w:spacing w:val="-4"/>
          <w:sz w:val="28"/>
          <w:szCs w:val="28"/>
          <w:shd w:val="clear" w:color="auto" w:fill="FFFFFF" w:themeFill="background1"/>
        </w:rPr>
        <w:t>3、时效指标：</w:t>
      </w:r>
    </w:p>
    <w:p>
      <w:pPr>
        <w:spacing w:line="360" w:lineRule="auto"/>
        <w:ind w:firstLine="544" w:firstLineChars="200"/>
        <w:rPr>
          <w:rStyle w:val="19"/>
          <w:rFonts w:ascii="仿宋_GB2312" w:hAnsi="宋体" w:eastAsia="仿宋_GB2312" w:cs="Times New Roman"/>
          <w:b w:val="0"/>
          <w:bCs w:val="0"/>
          <w:spacing w:val="-4"/>
          <w:sz w:val="28"/>
          <w:szCs w:val="28"/>
          <w:shd w:val="clear" w:color="auto" w:fill="FFFFFF" w:themeFill="background1"/>
        </w:rPr>
      </w:pPr>
      <w:r>
        <w:rPr>
          <w:rStyle w:val="19"/>
          <w:rFonts w:hint="eastAsia" w:ascii="仿宋_GB2312" w:hAnsi="宋体" w:eastAsia="仿宋_GB2312" w:cs="Times New Roman"/>
          <w:b w:val="0"/>
          <w:bCs w:val="0"/>
          <w:spacing w:val="-4"/>
          <w:sz w:val="28"/>
          <w:szCs w:val="28"/>
          <w:shd w:val="clear" w:color="auto" w:fill="FFFFFF" w:themeFill="background1"/>
        </w:rPr>
        <w:t xml:space="preserve">指标1：人员工资及社保发放及时性 ，指标值： </w:t>
      </w:r>
      <w:r>
        <w:rPr>
          <w:rStyle w:val="19"/>
          <w:rFonts w:ascii="仿宋_GB2312" w:hAnsi="宋体" w:eastAsia="仿宋_GB2312" w:cs="Times New Roman"/>
          <w:b w:val="0"/>
          <w:bCs w:val="0"/>
          <w:spacing w:val="-4"/>
          <w:sz w:val="28"/>
          <w:szCs w:val="28"/>
          <w:shd w:val="clear" w:color="auto" w:fill="FFFFFF" w:themeFill="background1"/>
        </w:rPr>
        <w:t>=100%</w:t>
      </w:r>
      <w:r>
        <w:rPr>
          <w:rStyle w:val="19"/>
          <w:rFonts w:hint="eastAsia" w:ascii="仿宋_GB2312" w:hAnsi="宋体" w:eastAsia="仿宋_GB2312" w:cs="Times New Roman"/>
          <w:b w:val="0"/>
          <w:bCs w:val="0"/>
          <w:spacing w:val="-4"/>
          <w:sz w:val="28"/>
          <w:szCs w:val="28"/>
          <w:shd w:val="clear" w:color="auto" w:fill="FFFFFF" w:themeFill="background1"/>
        </w:rPr>
        <w:t xml:space="preserve"> ，实际完成值：100 %，指标完成率100%；</w:t>
      </w:r>
    </w:p>
    <w:p>
      <w:pPr>
        <w:spacing w:line="360" w:lineRule="auto"/>
        <w:ind w:firstLine="544" w:firstLineChars="200"/>
        <w:rPr>
          <w:rStyle w:val="19"/>
          <w:rFonts w:ascii="仿宋_GB2312" w:hAnsi="宋体" w:eastAsia="仿宋_GB2312" w:cs="Times New Roman"/>
          <w:b w:val="0"/>
          <w:bCs w:val="0"/>
          <w:spacing w:val="-4"/>
          <w:sz w:val="28"/>
          <w:szCs w:val="28"/>
          <w:shd w:val="clear" w:color="auto" w:fill="FFFFFF" w:themeFill="background1"/>
        </w:rPr>
      </w:pPr>
      <w:r>
        <w:rPr>
          <w:rStyle w:val="19"/>
          <w:rFonts w:hint="eastAsia" w:ascii="仿宋_GB2312" w:hAnsi="宋体" w:eastAsia="仿宋_GB2312" w:cs="Times New Roman"/>
          <w:b w:val="0"/>
          <w:bCs w:val="0"/>
          <w:spacing w:val="-4"/>
          <w:sz w:val="28"/>
          <w:szCs w:val="28"/>
          <w:shd w:val="clear" w:color="auto" w:fill="FFFFFF" w:themeFill="background1"/>
        </w:rPr>
        <w:t>指标2：公用经费支付及时性 ，指标值：</w:t>
      </w:r>
      <w:r>
        <w:rPr>
          <w:rStyle w:val="19"/>
          <w:rFonts w:ascii="仿宋_GB2312" w:hAnsi="宋体" w:eastAsia="仿宋_GB2312" w:cs="Times New Roman"/>
          <w:b w:val="0"/>
          <w:bCs w:val="0"/>
          <w:spacing w:val="-4"/>
          <w:sz w:val="28"/>
          <w:szCs w:val="28"/>
          <w:shd w:val="clear" w:color="auto" w:fill="FFFFFF" w:themeFill="background1"/>
        </w:rPr>
        <w:t>=100%</w:t>
      </w:r>
      <w:r>
        <w:rPr>
          <w:rStyle w:val="19"/>
          <w:rFonts w:hint="eastAsia" w:ascii="仿宋_GB2312" w:hAnsi="宋体" w:eastAsia="仿宋_GB2312" w:cs="Times New Roman"/>
          <w:b w:val="0"/>
          <w:bCs w:val="0"/>
          <w:spacing w:val="-4"/>
          <w:sz w:val="28"/>
          <w:szCs w:val="28"/>
          <w:shd w:val="clear" w:color="auto" w:fill="FFFFFF" w:themeFill="background1"/>
        </w:rPr>
        <w:t>，实际完成值： 100%  ，指标完成率100%；</w:t>
      </w:r>
    </w:p>
    <w:p>
      <w:pPr>
        <w:spacing w:line="360" w:lineRule="auto"/>
        <w:ind w:firstLine="544" w:firstLineChars="200"/>
        <w:rPr>
          <w:rStyle w:val="19"/>
          <w:rFonts w:ascii="仿宋_GB2312" w:hAnsi="宋体" w:eastAsia="仿宋_GB2312" w:cs="Times New Roman"/>
          <w:b w:val="0"/>
          <w:bCs w:val="0"/>
          <w:spacing w:val="-4"/>
          <w:sz w:val="28"/>
          <w:szCs w:val="28"/>
          <w:shd w:val="clear" w:color="auto" w:fill="FFFFFF" w:themeFill="background1"/>
        </w:rPr>
      </w:pPr>
      <w:r>
        <w:rPr>
          <w:rStyle w:val="19"/>
          <w:rFonts w:hint="eastAsia" w:ascii="仿宋_GB2312" w:hAnsi="宋体" w:eastAsia="仿宋_GB2312" w:cs="Times New Roman"/>
          <w:b w:val="0"/>
          <w:bCs w:val="0"/>
          <w:spacing w:val="-4"/>
          <w:sz w:val="28"/>
          <w:szCs w:val="28"/>
          <w:shd w:val="clear" w:color="auto" w:fill="FFFFFF" w:themeFill="background1"/>
        </w:rPr>
        <w:t>4、成本指标：</w:t>
      </w:r>
    </w:p>
    <w:p>
      <w:pPr>
        <w:spacing w:line="360" w:lineRule="auto"/>
        <w:ind w:firstLine="544" w:firstLineChars="200"/>
        <w:rPr>
          <w:rStyle w:val="19"/>
          <w:rFonts w:ascii="仿宋_GB2312" w:hAnsi="宋体" w:eastAsia="仿宋_GB2312" w:cs="Times New Roman"/>
          <w:b w:val="0"/>
          <w:bCs w:val="0"/>
          <w:spacing w:val="-4"/>
          <w:sz w:val="28"/>
          <w:szCs w:val="28"/>
          <w:shd w:val="clear" w:color="auto" w:fill="FFFFFF" w:themeFill="background1"/>
        </w:rPr>
      </w:pPr>
      <w:r>
        <w:rPr>
          <w:rStyle w:val="19"/>
          <w:rFonts w:hint="eastAsia" w:ascii="仿宋_GB2312" w:hAnsi="宋体" w:eastAsia="仿宋_GB2312" w:cs="Times New Roman"/>
          <w:b w:val="0"/>
          <w:bCs w:val="0"/>
          <w:spacing w:val="-4"/>
          <w:sz w:val="28"/>
          <w:szCs w:val="28"/>
          <w:shd w:val="clear" w:color="auto" w:fill="FFFFFF" w:themeFill="background1"/>
        </w:rPr>
        <w:t>指标1：在职人员人均工资、社保、住房，指标值：≤115816.63元/人/年，实际完成值：115816.63元/人/年，指标完成率100%；</w:t>
      </w:r>
    </w:p>
    <w:p>
      <w:pPr>
        <w:spacing w:line="360" w:lineRule="auto"/>
        <w:ind w:firstLine="544" w:firstLineChars="200"/>
        <w:rPr>
          <w:rStyle w:val="19"/>
          <w:rFonts w:ascii="仿宋_GB2312" w:hAnsi="宋体" w:eastAsia="仿宋_GB2312" w:cs="Times New Roman"/>
          <w:b w:val="0"/>
          <w:bCs w:val="0"/>
          <w:spacing w:val="-4"/>
          <w:sz w:val="28"/>
          <w:szCs w:val="28"/>
          <w:shd w:val="clear" w:color="auto" w:fill="FFFFFF" w:themeFill="background1"/>
        </w:rPr>
      </w:pPr>
      <w:r>
        <w:rPr>
          <w:rStyle w:val="19"/>
          <w:rFonts w:hint="eastAsia" w:ascii="仿宋_GB2312" w:hAnsi="宋体" w:eastAsia="仿宋_GB2312" w:cs="Times New Roman"/>
          <w:b w:val="0"/>
          <w:bCs w:val="0"/>
          <w:spacing w:val="-4"/>
          <w:sz w:val="28"/>
          <w:szCs w:val="28"/>
          <w:shd w:val="clear" w:color="auto" w:fill="FFFFFF" w:themeFill="background1"/>
        </w:rPr>
        <w:t>指标2： 取暖费   ，指标值：≤1300元/人/年，实际完成值：1300元/人/年，指标完成率100%；</w:t>
      </w:r>
    </w:p>
    <w:p>
      <w:pPr>
        <w:spacing w:line="360" w:lineRule="auto"/>
        <w:ind w:firstLine="544" w:firstLineChars="200"/>
        <w:rPr>
          <w:rStyle w:val="19"/>
          <w:rFonts w:ascii="仿宋_GB2312" w:hAnsi="宋体" w:eastAsia="仿宋_GB2312" w:cs="Times New Roman"/>
          <w:b w:val="0"/>
          <w:bCs w:val="0"/>
          <w:spacing w:val="-4"/>
          <w:sz w:val="28"/>
          <w:szCs w:val="28"/>
          <w:shd w:val="clear" w:color="auto" w:fill="FFFFFF" w:themeFill="background1"/>
        </w:rPr>
      </w:pPr>
      <w:r>
        <w:rPr>
          <w:rStyle w:val="19"/>
          <w:rFonts w:hint="eastAsia" w:ascii="仿宋_GB2312" w:hAnsi="宋体" w:eastAsia="仿宋_GB2312" w:cs="Times New Roman"/>
          <w:b w:val="0"/>
          <w:bCs w:val="0"/>
          <w:spacing w:val="-4"/>
          <w:sz w:val="28"/>
          <w:szCs w:val="28"/>
          <w:shd w:val="clear" w:color="auto" w:fill="FFFFFF" w:themeFill="background1"/>
        </w:rPr>
        <w:t>5、社会效益指标：</w:t>
      </w:r>
    </w:p>
    <w:p>
      <w:pPr>
        <w:spacing w:line="360" w:lineRule="auto"/>
        <w:ind w:firstLine="544" w:firstLineChars="200"/>
        <w:rPr>
          <w:rStyle w:val="19"/>
          <w:rFonts w:ascii="仿宋_GB2312" w:hAnsi="宋体" w:eastAsia="仿宋_GB2312" w:cs="Times New Roman"/>
          <w:b w:val="0"/>
          <w:bCs w:val="0"/>
          <w:spacing w:val="-4"/>
          <w:sz w:val="28"/>
          <w:szCs w:val="28"/>
          <w:shd w:val="clear" w:color="auto" w:fill="FFFFFF" w:themeFill="background1"/>
        </w:rPr>
      </w:pPr>
      <w:r>
        <w:rPr>
          <w:rStyle w:val="19"/>
          <w:rFonts w:hint="eastAsia" w:ascii="仿宋_GB2312" w:hAnsi="宋体" w:eastAsia="仿宋_GB2312" w:cs="Times New Roman"/>
          <w:b w:val="0"/>
          <w:bCs w:val="0"/>
          <w:spacing w:val="-4"/>
          <w:sz w:val="28"/>
          <w:szCs w:val="28"/>
          <w:shd w:val="clear" w:color="auto" w:fill="FFFFFF" w:themeFill="background1"/>
        </w:rPr>
        <w:t>指标1：培训任务及时完成 ，指标值：有效保证，实际完成值：有效保证 ，指标完成率100%；</w:t>
      </w:r>
    </w:p>
    <w:p>
      <w:pPr>
        <w:spacing w:line="360" w:lineRule="auto"/>
        <w:ind w:firstLine="544" w:firstLineChars="200"/>
        <w:rPr>
          <w:rStyle w:val="19"/>
          <w:rFonts w:ascii="仿宋_GB2312" w:hAnsi="宋体" w:eastAsia="仿宋_GB2312" w:cs="Times New Roman"/>
          <w:b w:val="0"/>
          <w:bCs w:val="0"/>
          <w:spacing w:val="-4"/>
          <w:sz w:val="28"/>
          <w:szCs w:val="28"/>
          <w:shd w:val="clear" w:color="auto" w:fill="FFFFFF" w:themeFill="background1"/>
        </w:rPr>
      </w:pPr>
      <w:r>
        <w:rPr>
          <w:rStyle w:val="19"/>
          <w:rFonts w:hint="eastAsia" w:ascii="仿宋_GB2312" w:hAnsi="宋体" w:eastAsia="仿宋_GB2312" w:cs="Times New Roman"/>
          <w:b w:val="0"/>
          <w:bCs w:val="0"/>
          <w:spacing w:val="-4"/>
          <w:sz w:val="28"/>
          <w:szCs w:val="28"/>
          <w:shd w:val="clear" w:color="auto" w:fill="FFFFFF" w:themeFill="background1"/>
        </w:rPr>
        <w:t>指标2：保证教师队伍稳定 ，指标值：有效保证,实际完成值：有效保证 ，指标完成率100%；</w:t>
      </w:r>
    </w:p>
    <w:p>
      <w:pPr>
        <w:spacing w:line="360" w:lineRule="auto"/>
        <w:ind w:firstLine="544" w:firstLineChars="200"/>
        <w:rPr>
          <w:rStyle w:val="19"/>
          <w:rFonts w:ascii="仿宋_GB2312" w:hAnsi="宋体" w:eastAsia="仿宋_GB2312" w:cs="Times New Roman"/>
          <w:b w:val="0"/>
          <w:bCs w:val="0"/>
          <w:spacing w:val="-4"/>
          <w:sz w:val="28"/>
          <w:szCs w:val="28"/>
          <w:shd w:val="clear" w:color="auto" w:fill="FFFFFF" w:themeFill="background1"/>
        </w:rPr>
      </w:pPr>
      <w:r>
        <w:rPr>
          <w:rStyle w:val="19"/>
          <w:rFonts w:hint="eastAsia" w:ascii="仿宋_GB2312" w:hAnsi="宋体" w:eastAsia="仿宋_GB2312" w:cs="Times New Roman"/>
          <w:b w:val="0"/>
          <w:bCs w:val="0"/>
          <w:spacing w:val="-4"/>
          <w:sz w:val="28"/>
          <w:szCs w:val="28"/>
          <w:shd w:val="clear" w:color="auto" w:fill="FFFFFF" w:themeFill="background1"/>
        </w:rPr>
        <w:t>6、满意度指标：</w:t>
      </w:r>
    </w:p>
    <w:p>
      <w:pPr>
        <w:spacing w:line="360" w:lineRule="auto"/>
        <w:ind w:firstLine="544" w:firstLineChars="200"/>
        <w:rPr>
          <w:rStyle w:val="19"/>
          <w:rFonts w:ascii="仿宋_GB2312" w:hAnsi="宋体" w:eastAsia="仿宋_GB2312" w:cs="Times New Roman"/>
          <w:b w:val="0"/>
          <w:bCs w:val="0"/>
          <w:spacing w:val="-4"/>
          <w:sz w:val="28"/>
          <w:szCs w:val="28"/>
          <w:shd w:val="clear" w:color="auto" w:fill="FFFFFF" w:themeFill="background1"/>
        </w:rPr>
      </w:pPr>
      <w:r>
        <w:rPr>
          <w:rStyle w:val="19"/>
          <w:rFonts w:hint="eastAsia" w:ascii="仿宋_GB2312" w:hAnsi="宋体" w:eastAsia="仿宋_GB2312" w:cs="Times New Roman"/>
          <w:b w:val="0"/>
          <w:bCs w:val="0"/>
          <w:spacing w:val="-4"/>
          <w:sz w:val="28"/>
          <w:szCs w:val="28"/>
          <w:shd w:val="clear" w:color="auto" w:fill="FFFFFF" w:themeFill="background1"/>
        </w:rPr>
        <w:t>指标1：干部职工满意度，指标值：≥90% ，实际完成值:90% ，指标完成率100%；</w:t>
      </w:r>
    </w:p>
    <w:p>
      <w:pPr>
        <w:spacing w:line="360" w:lineRule="auto"/>
        <w:ind w:firstLine="544" w:firstLineChars="200"/>
        <w:rPr>
          <w:rStyle w:val="19"/>
          <w:rFonts w:ascii="仿宋_GB2312" w:hAnsi="宋体" w:eastAsia="仿宋_GB2312" w:cs="Times New Roman"/>
          <w:b w:val="0"/>
          <w:bCs w:val="0"/>
          <w:spacing w:val="-4"/>
          <w:sz w:val="28"/>
          <w:szCs w:val="28"/>
          <w:shd w:val="clear" w:color="auto" w:fill="FFFFFF" w:themeFill="background1"/>
        </w:rPr>
      </w:pPr>
      <w:r>
        <w:rPr>
          <w:rStyle w:val="19"/>
          <w:rFonts w:hint="eastAsia" w:ascii="仿宋_GB2312" w:hAnsi="宋体" w:eastAsia="仿宋_GB2312" w:cs="Times New Roman"/>
          <w:b w:val="0"/>
          <w:bCs w:val="0"/>
          <w:spacing w:val="-4"/>
          <w:sz w:val="28"/>
          <w:szCs w:val="28"/>
          <w:shd w:val="clear" w:color="auto" w:fill="FFFFFF" w:themeFill="background1"/>
        </w:rPr>
        <w:t>指标2：相关部门的满意度 ，指标值：≥93% ，实际完成值：93% ，指标完成率100%.</w:t>
      </w:r>
    </w:p>
    <w:p>
      <w:pPr>
        <w:pStyle w:val="5"/>
        <w:spacing w:line="360" w:lineRule="auto"/>
        <w:rPr>
          <w:rFonts w:ascii="仿宋" w:hAnsi="仿宋" w:eastAsia="仿宋"/>
          <w:sz w:val="36"/>
          <w:szCs w:val="36"/>
        </w:rPr>
      </w:pPr>
      <w:bookmarkStart w:id="27" w:name="_Toc70450317"/>
      <w:r>
        <w:rPr>
          <w:rFonts w:hint="eastAsia" w:ascii="仿宋" w:hAnsi="仿宋" w:eastAsia="仿宋"/>
          <w:sz w:val="36"/>
          <w:szCs w:val="36"/>
        </w:rPr>
        <w:t>六、存在的主要问题</w:t>
      </w:r>
      <w:bookmarkEnd w:id="27"/>
    </w:p>
    <w:p>
      <w:pPr>
        <w:pStyle w:val="15"/>
        <w:widowControl/>
        <w:spacing w:before="40" w:beforeAutospacing="0" w:after="0" w:afterAutospacing="0" w:line="520" w:lineRule="atLeas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(一)预算执行存在偏差</w:t>
      </w:r>
    </w:p>
    <w:p>
      <w:pPr>
        <w:pStyle w:val="15"/>
        <w:widowControl/>
        <w:spacing w:before="40" w:beforeAutospacing="0" w:after="0" w:afterAutospacing="0" w:line="520" w:lineRule="atLeast"/>
        <w:ind w:firstLine="520"/>
        <w:jc w:val="both"/>
        <w:rPr>
          <w:rStyle w:val="19"/>
          <w:rFonts w:ascii="仿宋_GB2312" w:hAnsi="宋体" w:eastAsia="仿宋_GB2312"/>
          <w:b w:val="0"/>
          <w:bCs w:val="0"/>
          <w:spacing w:val="-4"/>
          <w:sz w:val="28"/>
          <w:szCs w:val="28"/>
        </w:rPr>
      </w:pPr>
      <w:r>
        <w:rPr>
          <w:rStyle w:val="19"/>
          <w:rFonts w:hint="eastAsia" w:ascii="仿宋_GB2312" w:hAnsi="宋体" w:eastAsia="仿宋_GB2312"/>
          <w:b w:val="0"/>
          <w:bCs w:val="0"/>
          <w:spacing w:val="-4"/>
          <w:sz w:val="28"/>
          <w:szCs w:val="28"/>
        </w:rPr>
        <w:t>（一）预算下达，在预算执行中造成个别预算子项调剂现象；对个别项目资金使用方面预算不够细致，出现实际支出数超出了预算申报数或出现项目资金结余数额多的情况，导致调剂频繁，缺乏预算编制的科学性。</w:t>
      </w:r>
    </w:p>
    <w:p>
      <w:pPr>
        <w:pStyle w:val="32"/>
        <w:spacing w:line="560" w:lineRule="exact"/>
        <w:ind w:firstLine="544" w:firstLineChars="200"/>
        <w:rPr>
          <w:rStyle w:val="19"/>
          <w:rFonts w:ascii="仿宋_GB2312" w:hAnsi="宋体" w:eastAsia="仿宋_GB2312"/>
          <w:b w:val="0"/>
          <w:bCs w:val="0"/>
          <w:spacing w:val="-4"/>
          <w:sz w:val="28"/>
        </w:rPr>
      </w:pPr>
      <w:r>
        <w:rPr>
          <w:rStyle w:val="19"/>
          <w:rFonts w:hint="eastAsia" w:ascii="仿宋_GB2312" w:hAnsi="宋体" w:eastAsia="仿宋_GB2312"/>
          <w:b w:val="0"/>
          <w:bCs w:val="0"/>
          <w:spacing w:val="-4"/>
          <w:sz w:val="28"/>
        </w:rPr>
        <w:t>（二）项目细化管理工作不足。</w:t>
      </w:r>
    </w:p>
    <w:p>
      <w:pPr>
        <w:pStyle w:val="32"/>
        <w:spacing w:line="560" w:lineRule="exact"/>
        <w:ind w:firstLine="544" w:firstLineChars="200"/>
        <w:rPr>
          <w:rStyle w:val="19"/>
          <w:rFonts w:ascii="仿宋_GB2312" w:hAnsi="宋体" w:eastAsia="仿宋_GB2312"/>
          <w:b w:val="0"/>
          <w:bCs w:val="0"/>
          <w:spacing w:val="-4"/>
          <w:sz w:val="28"/>
        </w:rPr>
      </w:pPr>
      <w:r>
        <w:rPr>
          <w:rStyle w:val="19"/>
          <w:rFonts w:hint="eastAsia" w:ascii="仿宋_GB2312" w:hAnsi="宋体" w:eastAsia="仿宋_GB2312"/>
          <w:b w:val="0"/>
          <w:bCs w:val="0"/>
          <w:spacing w:val="-4"/>
          <w:sz w:val="28"/>
        </w:rPr>
        <w:t>（三）预算绩效管理水平仍有欠缺。在2020年预算绩效管理工作中，存在“重投入轻管理、重支出轻绩效”的情况，对全面实施预算绩效管理的要求认识还不到位，项目申报、实施等环节与预算绩效管理各个环节联系不够紧密；同时预算绩效管理也是一项新工作，面对专业人手不足、绩效管理水平欠缺的情况下，坚持“滚石上山”，提升的空间还是很大。</w:t>
      </w:r>
    </w:p>
    <w:p>
      <w:pPr>
        <w:pStyle w:val="15"/>
        <w:widowControl/>
        <w:spacing w:before="40" w:beforeAutospacing="0" w:after="0" w:afterAutospacing="0" w:line="520" w:lineRule="atLeast"/>
        <w:ind w:firstLine="272" w:firstLineChars="100"/>
        <w:jc w:val="both"/>
        <w:rPr>
          <w:rStyle w:val="19"/>
          <w:rFonts w:ascii="仿宋_GB2312" w:hAnsi="宋体" w:eastAsia="仿宋_GB2312"/>
          <w:b w:val="0"/>
          <w:bCs w:val="0"/>
          <w:spacing w:val="-4"/>
          <w:sz w:val="28"/>
          <w:szCs w:val="28"/>
        </w:rPr>
      </w:pPr>
      <w:r>
        <w:rPr>
          <w:rStyle w:val="19"/>
          <w:rFonts w:hint="eastAsia" w:ascii="仿宋_GB2312" w:hAnsi="宋体" w:eastAsia="仿宋_GB2312"/>
          <w:b w:val="0"/>
          <w:bCs w:val="0"/>
          <w:spacing w:val="-4"/>
          <w:sz w:val="28"/>
          <w:szCs w:val="28"/>
        </w:rPr>
        <w:t>（四）固定资产管理水平有待提高</w:t>
      </w:r>
    </w:p>
    <w:p>
      <w:pPr>
        <w:pStyle w:val="15"/>
        <w:widowControl/>
        <w:spacing w:before="40" w:beforeAutospacing="0" w:after="0" w:afterAutospacing="0" w:line="520" w:lineRule="atLeast"/>
        <w:ind w:firstLine="520"/>
        <w:jc w:val="both"/>
        <w:rPr>
          <w:rStyle w:val="19"/>
          <w:rFonts w:ascii="仿宋_GB2312" w:hAnsi="宋体" w:eastAsia="仿宋_GB2312"/>
          <w:b w:val="0"/>
          <w:bCs w:val="0"/>
          <w:spacing w:val="-4"/>
          <w:sz w:val="28"/>
          <w:szCs w:val="28"/>
        </w:rPr>
      </w:pPr>
      <w:r>
        <w:rPr>
          <w:rStyle w:val="19"/>
          <w:rFonts w:hint="eastAsia" w:ascii="仿宋_GB2312" w:hAnsi="宋体" w:eastAsia="仿宋_GB2312"/>
          <w:b w:val="0"/>
          <w:bCs w:val="0"/>
          <w:spacing w:val="-4"/>
          <w:sz w:val="28"/>
          <w:szCs w:val="28"/>
        </w:rPr>
        <w:t>固定资产台账未及时与账面资产金额对账且末与实物进行清点及及时清理处置报废资产导致资产台账与账面资产金额存在差异,固定资产管理继续加强中。</w:t>
      </w:r>
    </w:p>
    <w:p>
      <w:pPr>
        <w:pStyle w:val="5"/>
        <w:spacing w:line="360" w:lineRule="auto"/>
        <w:rPr>
          <w:rFonts w:ascii="仿宋" w:hAnsi="仿宋" w:eastAsia="仿宋"/>
          <w:sz w:val="36"/>
          <w:szCs w:val="36"/>
        </w:rPr>
      </w:pPr>
      <w:bookmarkStart w:id="28" w:name="_Toc70450318"/>
      <w:r>
        <w:rPr>
          <w:rFonts w:hint="eastAsia" w:ascii="仿宋" w:hAnsi="仿宋" w:eastAsia="仿宋"/>
          <w:sz w:val="36"/>
          <w:szCs w:val="36"/>
        </w:rPr>
        <w:t>七、改进措施和建议</w:t>
      </w:r>
      <w:bookmarkEnd w:id="28"/>
    </w:p>
    <w:p>
      <w:pPr>
        <w:spacing w:line="360" w:lineRule="auto"/>
      </w:pPr>
    </w:p>
    <w:p>
      <w:pPr>
        <w:pStyle w:val="6"/>
        <w:numPr>
          <w:ilvl w:val="0"/>
          <w:numId w:val="3"/>
        </w:numPr>
        <w:spacing w:line="360" w:lineRule="auto"/>
        <w:rPr>
          <w:rStyle w:val="19"/>
          <w:rFonts w:ascii="仿宋" w:hAnsi="仿宋" w:eastAsia="仿宋"/>
          <w:b/>
          <w:bCs/>
        </w:rPr>
      </w:pPr>
      <w:bookmarkStart w:id="29" w:name="_Toc70450319"/>
      <w:r>
        <w:rPr>
          <w:rStyle w:val="19"/>
          <w:rFonts w:hint="eastAsia" w:ascii="仿宋" w:hAnsi="仿宋" w:eastAsia="仿宋"/>
          <w:b/>
          <w:bCs/>
        </w:rPr>
        <w:t>改进措施</w:t>
      </w:r>
      <w:bookmarkEnd w:id="29"/>
    </w:p>
    <w:p>
      <w:pPr>
        <w:pStyle w:val="15"/>
        <w:widowControl/>
        <w:spacing w:before="40" w:beforeAutospacing="0" w:after="0" w:afterAutospacing="0" w:line="520" w:lineRule="atLeast"/>
        <w:ind w:firstLine="520"/>
        <w:jc w:val="both"/>
        <w:rPr>
          <w:rFonts w:ascii="仿宋" w:hAnsi="仿宋" w:eastAsia="仿宋"/>
          <w:sz w:val="22"/>
          <w:szCs w:val="28"/>
        </w:rPr>
      </w:pPr>
      <w:r>
        <w:rPr>
          <w:rStyle w:val="19"/>
          <w:rFonts w:hint="eastAsia" w:ascii="仿宋_GB2312" w:hAnsi="宋体" w:eastAsia="仿宋_GB2312"/>
          <w:b w:val="0"/>
          <w:bCs w:val="0"/>
          <w:spacing w:val="-4"/>
          <w:sz w:val="28"/>
          <w:szCs w:val="28"/>
        </w:rPr>
        <w:t>加强政府单位会计制度和新预算法学习培训、规范账务处理，加强新《预算法》、《政府单位会计制度》 、《会计法》 、《政府单位财务规则》等学习培训,规范部门预算收支核算。 一是制定和完善基本支出、项目支出等各项支出标准,严格按项目进度执行预算, 增强预算的约束力和严肃性。二是落实预算执行分析,及时了解预算执行差异,合理调整、纠正预算执行偏差，切实提高部门预算收支管理水平。尽可能地做到决算与预算相衔接。</w:t>
      </w:r>
    </w:p>
    <w:p>
      <w:pPr>
        <w:pStyle w:val="6"/>
        <w:spacing w:line="360" w:lineRule="auto"/>
        <w:rPr>
          <w:rStyle w:val="19"/>
          <w:rFonts w:ascii="仿宋" w:hAnsi="仿宋" w:eastAsia="仿宋"/>
          <w:b/>
          <w:bCs/>
        </w:rPr>
      </w:pPr>
      <w:bookmarkStart w:id="30" w:name="_Toc70450320"/>
      <w:r>
        <w:rPr>
          <w:rStyle w:val="19"/>
          <w:rFonts w:hint="eastAsia" w:ascii="仿宋" w:hAnsi="仿宋" w:eastAsia="仿宋"/>
          <w:b/>
          <w:bCs/>
        </w:rPr>
        <w:t>（二）建议</w:t>
      </w:r>
      <w:bookmarkEnd w:id="30"/>
    </w:p>
    <w:p>
      <w:pPr>
        <w:pStyle w:val="15"/>
        <w:widowControl/>
        <w:spacing w:before="40" w:beforeAutospacing="0" w:after="0" w:afterAutospacing="0" w:line="520" w:lineRule="atLeast"/>
        <w:ind w:firstLine="520"/>
        <w:jc w:val="both"/>
        <w:rPr>
          <w:rStyle w:val="19"/>
          <w:rFonts w:ascii="仿宋_GB2312" w:hAnsi="宋体" w:eastAsia="仿宋_GB2312"/>
          <w:b w:val="0"/>
          <w:bCs w:val="0"/>
          <w:spacing w:val="-4"/>
          <w:sz w:val="28"/>
          <w:szCs w:val="28"/>
        </w:rPr>
      </w:pPr>
      <w:r>
        <w:rPr>
          <w:rStyle w:val="19"/>
          <w:rFonts w:hint="eastAsia" w:ascii="仿宋_GB2312" w:hAnsi="宋体" w:eastAsia="仿宋_GB2312"/>
          <w:b w:val="0"/>
          <w:bCs w:val="0"/>
          <w:spacing w:val="-4"/>
          <w:sz w:val="28"/>
          <w:szCs w:val="28"/>
        </w:rPr>
        <w:t>进一步提高绩效管理水平。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p>
    <w:p>
      <w:pPr>
        <w:spacing w:line="360" w:lineRule="auto"/>
      </w:pPr>
    </w:p>
    <w:p>
      <w:pPr>
        <w:pStyle w:val="5"/>
        <w:spacing w:line="360" w:lineRule="auto"/>
        <w:rPr>
          <w:rStyle w:val="19"/>
          <w:rFonts w:ascii="仿宋" w:hAnsi="仿宋" w:eastAsia="仿宋"/>
          <w:b/>
          <w:bCs/>
          <w:sz w:val="36"/>
          <w:szCs w:val="36"/>
        </w:rPr>
      </w:pPr>
      <w:bookmarkStart w:id="31" w:name="_Toc70450321"/>
      <w:r>
        <w:rPr>
          <w:rStyle w:val="19"/>
          <w:rFonts w:hint="eastAsia" w:ascii="仿宋" w:hAnsi="仿宋" w:eastAsia="仿宋"/>
          <w:b/>
          <w:bCs/>
          <w:sz w:val="36"/>
          <w:szCs w:val="36"/>
        </w:rPr>
        <w:t>八、附表</w:t>
      </w:r>
      <w:r>
        <w:rPr>
          <w:rStyle w:val="19"/>
          <w:rFonts w:hint="eastAsia" w:ascii="仿宋" w:hAnsi="仿宋" w:eastAsia="仿宋"/>
          <w:b w:val="0"/>
          <w:bCs w:val="0"/>
          <w:spacing w:val="-4"/>
          <w:sz w:val="36"/>
          <w:szCs w:val="36"/>
        </w:rPr>
        <w:t>：</w:t>
      </w:r>
      <w:bookmarkStart w:id="32" w:name="_Hlk70450148"/>
      <w:r>
        <w:rPr>
          <w:rStyle w:val="19"/>
          <w:rFonts w:hint="eastAsia" w:ascii="仿宋" w:hAnsi="仿宋" w:eastAsia="仿宋"/>
          <w:b/>
          <w:bCs/>
          <w:sz w:val="36"/>
          <w:szCs w:val="36"/>
        </w:rPr>
        <w:t>《部门整体支出绩效目标自评表》</w:t>
      </w:r>
      <w:bookmarkEnd w:id="31"/>
      <w:bookmarkEnd w:id="32"/>
    </w:p>
    <w:p>
      <w:r>
        <w:br w:type="page"/>
      </w:r>
    </w:p>
    <w:tbl>
      <w:tblPr>
        <w:tblStyle w:val="17"/>
        <w:tblW w:w="9570" w:type="dxa"/>
        <w:tblInd w:w="93" w:type="dxa"/>
        <w:tblLayout w:type="autofit"/>
        <w:tblCellMar>
          <w:top w:w="0" w:type="dxa"/>
          <w:left w:w="108" w:type="dxa"/>
          <w:bottom w:w="0" w:type="dxa"/>
          <w:right w:w="108" w:type="dxa"/>
        </w:tblCellMar>
      </w:tblPr>
      <w:tblGrid>
        <w:gridCol w:w="884"/>
        <w:gridCol w:w="1342"/>
        <w:gridCol w:w="2001"/>
        <w:gridCol w:w="946"/>
        <w:gridCol w:w="947"/>
        <w:gridCol w:w="947"/>
        <w:gridCol w:w="946"/>
        <w:gridCol w:w="473"/>
        <w:gridCol w:w="474"/>
        <w:gridCol w:w="947"/>
      </w:tblGrid>
      <w:tr>
        <w:tblPrEx>
          <w:tblCellMar>
            <w:top w:w="0" w:type="dxa"/>
            <w:left w:w="108" w:type="dxa"/>
            <w:bottom w:w="0" w:type="dxa"/>
            <w:right w:w="108" w:type="dxa"/>
          </w:tblCellMar>
        </w:tblPrEx>
        <w:trPr>
          <w:trHeight w:val="818" w:hRule="atLeast"/>
        </w:trPr>
        <w:tc>
          <w:tcPr>
            <w:tcW w:w="9572" w:type="dxa"/>
            <w:gridSpan w:val="10"/>
            <w:tcBorders>
              <w:top w:val="nil"/>
              <w:left w:val="nil"/>
              <w:bottom w:val="nil"/>
              <w:right w:val="nil"/>
            </w:tcBorders>
            <w:shd w:val="clear" w:color="auto" w:fill="auto"/>
            <w:noWrap/>
            <w:vAlign w:val="center"/>
          </w:tcPr>
          <w:p>
            <w:pPr>
              <w:widowControl/>
              <w:jc w:val="center"/>
              <w:textAlignment w:val="center"/>
              <w:rPr>
                <w:rFonts w:ascii="宋体" w:hAnsi="宋体" w:eastAsia="宋体" w:cs="宋体"/>
                <w:b/>
                <w:bCs/>
                <w:color w:val="000000"/>
                <w:sz w:val="32"/>
                <w:szCs w:val="32"/>
              </w:rPr>
            </w:pPr>
            <w:r>
              <w:rPr>
                <w:rFonts w:hint="eastAsia" w:ascii="宋体" w:hAnsi="宋体" w:eastAsia="宋体" w:cs="宋体"/>
                <w:b/>
                <w:bCs/>
                <w:color w:val="000000"/>
                <w:kern w:val="0"/>
                <w:sz w:val="32"/>
                <w:szCs w:val="32"/>
              </w:rPr>
              <w:t>部门整体支出绩效目标自评表</w:t>
            </w:r>
          </w:p>
        </w:tc>
      </w:tr>
      <w:tr>
        <w:tblPrEx>
          <w:tblCellMar>
            <w:top w:w="0" w:type="dxa"/>
            <w:left w:w="108" w:type="dxa"/>
            <w:bottom w:w="0" w:type="dxa"/>
            <w:right w:w="108" w:type="dxa"/>
          </w:tblCellMar>
        </w:tblPrEx>
        <w:trPr>
          <w:trHeight w:val="660" w:hRule="atLeast"/>
        </w:trPr>
        <w:tc>
          <w:tcPr>
            <w:tcW w:w="9907" w:type="dxa"/>
            <w:gridSpan w:val="10"/>
            <w:tcBorders>
              <w:top w:val="nil"/>
              <w:left w:val="nil"/>
              <w:bottom w:val="nil"/>
              <w:right w:val="nil"/>
            </w:tcBorders>
            <w:shd w:val="clear" w:color="auto" w:fill="auto"/>
            <w:noWrap/>
            <w:vAlign w:val="center"/>
          </w:tcPr>
          <w:p>
            <w:pPr>
              <w:widowControl/>
              <w:jc w:val="center"/>
              <w:textAlignment w:val="center"/>
              <w:rPr>
                <w:rFonts w:ascii="宋体" w:hAnsi="宋体" w:eastAsia="宋体" w:cs="宋体"/>
                <w:b/>
                <w:bCs/>
                <w:color w:val="000000"/>
                <w:sz w:val="32"/>
                <w:szCs w:val="32"/>
              </w:rPr>
            </w:pPr>
            <w:r>
              <w:rPr>
                <w:rFonts w:hint="eastAsia" w:ascii="宋体" w:hAnsi="宋体" w:eastAsia="宋体" w:cs="宋体"/>
                <w:b/>
                <w:bCs/>
                <w:color w:val="000000"/>
                <w:kern w:val="0"/>
                <w:sz w:val="32"/>
                <w:szCs w:val="32"/>
              </w:rPr>
              <w:t>(2021年)</w:t>
            </w:r>
          </w:p>
        </w:tc>
      </w:tr>
      <w:tr>
        <w:tblPrEx>
          <w:tblCellMar>
            <w:top w:w="0" w:type="dxa"/>
            <w:left w:w="108" w:type="dxa"/>
            <w:bottom w:w="0" w:type="dxa"/>
            <w:right w:w="108" w:type="dxa"/>
          </w:tblCellMar>
        </w:tblPrEx>
        <w:trPr>
          <w:trHeight w:val="698" w:hRule="atLeast"/>
        </w:trPr>
        <w:tc>
          <w:tcPr>
            <w:tcW w:w="22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部门（单位）名称</w:t>
            </w:r>
          </w:p>
        </w:tc>
        <w:tc>
          <w:tcPr>
            <w:tcW w:w="768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中共特克斯县委员会党校</w:t>
            </w:r>
          </w:p>
        </w:tc>
      </w:tr>
      <w:tr>
        <w:tblPrEx>
          <w:tblCellMar>
            <w:top w:w="0" w:type="dxa"/>
            <w:left w:w="108" w:type="dxa"/>
            <w:bottom w:w="0" w:type="dxa"/>
            <w:right w:w="108" w:type="dxa"/>
          </w:tblCellMar>
        </w:tblPrEx>
        <w:trPr>
          <w:trHeight w:val="698" w:hRule="atLeast"/>
        </w:trPr>
        <w:tc>
          <w:tcPr>
            <w:tcW w:w="8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年度主要任务</w:t>
            </w:r>
          </w:p>
        </w:tc>
        <w:tc>
          <w:tcPr>
            <w:tcW w:w="13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任务名称</w:t>
            </w:r>
          </w:p>
        </w:tc>
        <w:tc>
          <w:tcPr>
            <w:tcW w:w="200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主要内容</w:t>
            </w:r>
          </w:p>
        </w:tc>
        <w:tc>
          <w:tcPr>
            <w:tcW w:w="28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预算金额（万元）</w:t>
            </w:r>
          </w:p>
        </w:tc>
        <w:tc>
          <w:tcPr>
            <w:tcW w:w="28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实际执行（万元）</w:t>
            </w:r>
          </w:p>
        </w:tc>
      </w:tr>
      <w:tr>
        <w:tblPrEx>
          <w:tblCellMar>
            <w:top w:w="0" w:type="dxa"/>
            <w:left w:w="108" w:type="dxa"/>
            <w:bottom w:w="0" w:type="dxa"/>
            <w:right w:w="108" w:type="dxa"/>
          </w:tblCellMar>
        </w:tblPrEx>
        <w:trPr>
          <w:trHeight w:val="698" w:hRule="atLeast"/>
        </w:trPr>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color w:val="000000"/>
                <w:sz w:val="24"/>
              </w:rPr>
            </w:pPr>
          </w:p>
        </w:tc>
        <w:tc>
          <w:tcPr>
            <w:tcW w:w="13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color w:val="000000"/>
                <w:sz w:val="24"/>
              </w:rPr>
            </w:pPr>
          </w:p>
        </w:tc>
        <w:tc>
          <w:tcPr>
            <w:tcW w:w="20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color w:val="000000"/>
                <w:sz w:val="24"/>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总额</w:t>
            </w: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财政拨款</w:t>
            </w: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其他资金</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总额</w:t>
            </w:r>
          </w:p>
        </w:tc>
        <w:tc>
          <w:tcPr>
            <w:tcW w:w="9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财政拨款</w:t>
            </w: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其他资金</w:t>
            </w:r>
          </w:p>
        </w:tc>
      </w:tr>
      <w:tr>
        <w:tblPrEx>
          <w:tblCellMar>
            <w:top w:w="0" w:type="dxa"/>
            <w:left w:w="108" w:type="dxa"/>
            <w:bottom w:w="0" w:type="dxa"/>
            <w:right w:w="108" w:type="dxa"/>
          </w:tblCellMar>
        </w:tblPrEx>
        <w:trPr>
          <w:trHeight w:val="2920" w:hRule="atLeast"/>
        </w:trPr>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color w:val="000000"/>
                <w:sz w:val="24"/>
              </w:rPr>
            </w:pP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人员保障</w:t>
            </w:r>
          </w:p>
        </w:tc>
        <w:tc>
          <w:tcPr>
            <w:tcW w:w="20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统发在职人员工资、在职人员地方津贴补贴、在职人员奖励工资、统发职工冬季取暖费、机关事业单位基本养老保险缴费、失业和工伤保险、在职和退休职工基本医疗保险缴费、在职和退休职工大病医疗保险、离退休津贴补贴、离退休取暖费、统筹外退休费、住房公积金</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 xml:space="preserve">175.88 </w:t>
            </w: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 xml:space="preserve">175.88 </w:t>
            </w: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 xml:space="preserve">0.00 </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 xml:space="preserve">175.88 </w:t>
            </w:r>
          </w:p>
        </w:tc>
        <w:tc>
          <w:tcPr>
            <w:tcW w:w="9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color w:val="000000"/>
                <w:kern w:val="0"/>
                <w:sz w:val="20"/>
                <w:szCs w:val="20"/>
              </w:rPr>
              <w:t xml:space="preserve">175.88 </w:t>
            </w: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color w:val="000000"/>
                <w:kern w:val="0"/>
                <w:sz w:val="20"/>
                <w:szCs w:val="20"/>
              </w:rPr>
              <w:t xml:space="preserve">0.00 </w:t>
            </w:r>
          </w:p>
        </w:tc>
      </w:tr>
      <w:tr>
        <w:tblPrEx>
          <w:tblCellMar>
            <w:top w:w="0" w:type="dxa"/>
            <w:left w:w="108" w:type="dxa"/>
            <w:bottom w:w="0" w:type="dxa"/>
            <w:right w:w="108" w:type="dxa"/>
          </w:tblCellMar>
        </w:tblPrEx>
        <w:trPr>
          <w:trHeight w:val="1200" w:hRule="atLeast"/>
        </w:trPr>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color w:val="000000"/>
                <w:sz w:val="24"/>
              </w:rPr>
            </w:pP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运转保障</w:t>
            </w:r>
          </w:p>
        </w:tc>
        <w:tc>
          <w:tcPr>
            <w:tcW w:w="20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办公费、水费、电费、邮电费、差旅费、办公取暖费、公务用车运行维护费</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 xml:space="preserve">5.30 </w:t>
            </w: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 xml:space="preserve">5.30 </w:t>
            </w: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 xml:space="preserve">0.00 </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 xml:space="preserve">5.30 </w:t>
            </w:r>
          </w:p>
        </w:tc>
        <w:tc>
          <w:tcPr>
            <w:tcW w:w="9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color w:val="000000"/>
                <w:kern w:val="0"/>
                <w:sz w:val="20"/>
                <w:szCs w:val="20"/>
              </w:rPr>
              <w:t xml:space="preserve">5.30 </w:t>
            </w: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color w:val="000000"/>
                <w:kern w:val="0"/>
                <w:sz w:val="20"/>
                <w:szCs w:val="20"/>
              </w:rPr>
              <w:t xml:space="preserve">0.00 </w:t>
            </w:r>
          </w:p>
        </w:tc>
      </w:tr>
      <w:tr>
        <w:tblPrEx>
          <w:tblCellMar>
            <w:top w:w="0" w:type="dxa"/>
            <w:left w:w="108" w:type="dxa"/>
            <w:bottom w:w="0" w:type="dxa"/>
            <w:right w:w="108" w:type="dxa"/>
          </w:tblCellMar>
        </w:tblPrEx>
        <w:trPr>
          <w:trHeight w:val="698" w:hRule="atLeast"/>
        </w:trPr>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color w:val="000000"/>
                <w:sz w:val="24"/>
              </w:rPr>
            </w:pPr>
          </w:p>
        </w:tc>
        <w:tc>
          <w:tcPr>
            <w:tcW w:w="33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金额合计</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 xml:space="preserve">181.18 </w:t>
            </w: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 xml:space="preserve">181.18 </w:t>
            </w: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 xml:space="preserve">0.00 </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 xml:space="preserve">181.18 </w:t>
            </w:r>
          </w:p>
        </w:tc>
        <w:tc>
          <w:tcPr>
            <w:tcW w:w="9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color w:val="000000"/>
                <w:kern w:val="0"/>
                <w:sz w:val="24"/>
              </w:rPr>
              <w:t xml:space="preserve">181.18 </w:t>
            </w: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color w:val="000000"/>
                <w:kern w:val="0"/>
                <w:sz w:val="24"/>
              </w:rPr>
              <w:t xml:space="preserve">0.00 </w:t>
            </w:r>
          </w:p>
        </w:tc>
      </w:tr>
      <w:tr>
        <w:tblPrEx>
          <w:tblCellMar>
            <w:top w:w="0" w:type="dxa"/>
            <w:left w:w="108" w:type="dxa"/>
            <w:bottom w:w="0" w:type="dxa"/>
            <w:right w:w="108" w:type="dxa"/>
          </w:tblCellMar>
        </w:tblPrEx>
        <w:trPr>
          <w:trHeight w:val="698" w:hRule="atLeast"/>
        </w:trPr>
        <w:tc>
          <w:tcPr>
            <w:tcW w:w="884" w:type="dxa"/>
            <w:vMerge w:val="restart"/>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年度总体目标</w:t>
            </w:r>
          </w:p>
        </w:tc>
        <w:tc>
          <w:tcPr>
            <w:tcW w:w="428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预期目标</w:t>
            </w:r>
          </w:p>
        </w:tc>
        <w:tc>
          <w:tcPr>
            <w:tcW w:w="473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实际完成目标</w:t>
            </w:r>
          </w:p>
        </w:tc>
      </w:tr>
      <w:tr>
        <w:tblPrEx>
          <w:tblCellMar>
            <w:top w:w="0" w:type="dxa"/>
            <w:left w:w="108" w:type="dxa"/>
            <w:bottom w:w="0" w:type="dxa"/>
            <w:right w:w="108" w:type="dxa"/>
          </w:tblCellMar>
        </w:tblPrEx>
        <w:trPr>
          <w:trHeight w:val="3440" w:hRule="atLeast"/>
        </w:trPr>
        <w:tc>
          <w:tcPr>
            <w:tcW w:w="884"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ascii="宋体" w:hAnsi="宋体" w:eastAsia="宋体" w:cs="宋体"/>
                <w:b/>
                <w:bCs/>
                <w:color w:val="000000"/>
                <w:sz w:val="24"/>
              </w:rPr>
            </w:pPr>
          </w:p>
        </w:tc>
        <w:tc>
          <w:tcPr>
            <w:tcW w:w="428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总体目标是：宣传贯彻党的路线、方针、政策，坚持正确的办学方向；</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负责党的理论研讨工作，指导干部学习党的理论；</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组织实施全县各级党员干部培训、轮训，负责开展党建理论研究工作；</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完成县委交办的其他工作。力争在2021年完成干部培训人次2000人。</w:t>
            </w:r>
          </w:p>
        </w:tc>
        <w:tc>
          <w:tcPr>
            <w:tcW w:w="473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 xml:space="preserve">把习近平新时代中国特色社会主义思想作为党校教师宣讲主题，通过“进机关、进企业、进农村、进社区、进学校”等形式，深入基层开展送党课理论宣讲活动。今年以来，我校分别在1月和7月，选派了4名骨干教师，和宣传部组成两个宣讲团，开展送课下基层、进机关（村、社区）等专题宣讲活动，宣讲内容包括十九届五中全会、第三次中央新疆工作座谈会、民法典、党史、习总书记“七一”重要讲话精神，共宣讲32场次，听课干部群众达2000余人，宣讲达到预期效果。 </w:t>
            </w:r>
          </w:p>
        </w:tc>
      </w:tr>
      <w:tr>
        <w:tblPrEx>
          <w:tblCellMar>
            <w:top w:w="0" w:type="dxa"/>
            <w:left w:w="108" w:type="dxa"/>
            <w:bottom w:w="0" w:type="dxa"/>
            <w:right w:w="108" w:type="dxa"/>
          </w:tblCellMar>
        </w:tblPrEx>
        <w:trPr>
          <w:trHeight w:val="698" w:hRule="atLeast"/>
        </w:trPr>
        <w:tc>
          <w:tcPr>
            <w:tcW w:w="8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年度绩效指标</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一级指标</w:t>
            </w:r>
          </w:p>
        </w:tc>
        <w:tc>
          <w:tcPr>
            <w:tcW w:w="20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二级指标</w:t>
            </w:r>
          </w:p>
        </w:tc>
        <w:tc>
          <w:tcPr>
            <w:tcW w:w="28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三级指标</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预期指标值（包含数字及文字描述）</w:t>
            </w:r>
          </w:p>
        </w:tc>
        <w:tc>
          <w:tcPr>
            <w:tcW w:w="14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实际完成指标值（包含数字及文字描述）</w:t>
            </w:r>
          </w:p>
        </w:tc>
      </w:tr>
      <w:tr>
        <w:tblPrEx>
          <w:tblCellMar>
            <w:top w:w="0" w:type="dxa"/>
            <w:left w:w="108" w:type="dxa"/>
            <w:bottom w:w="0" w:type="dxa"/>
            <w:right w:w="108" w:type="dxa"/>
          </w:tblCellMar>
        </w:tblPrEx>
        <w:trPr>
          <w:trHeight w:val="698" w:hRule="atLeast"/>
        </w:trPr>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color w:val="000000"/>
                <w:sz w:val="24"/>
              </w:rPr>
            </w:pPr>
          </w:p>
        </w:tc>
        <w:tc>
          <w:tcPr>
            <w:tcW w:w="134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产出指标</w:t>
            </w:r>
          </w:p>
        </w:tc>
        <w:tc>
          <w:tcPr>
            <w:tcW w:w="2001" w:type="dxa"/>
            <w:vMerge w:val="restart"/>
            <w:tcBorders>
              <w:top w:val="single" w:color="000000" w:sz="4" w:space="0"/>
              <w:left w:val="single" w:color="000000" w:sz="4" w:space="0"/>
              <w:bottom w:val="nil"/>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数量指标</w:t>
            </w:r>
          </w:p>
        </w:tc>
        <w:tc>
          <w:tcPr>
            <w:tcW w:w="28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培训学员人数</w:t>
            </w:r>
          </w:p>
        </w:tc>
        <w:tc>
          <w:tcPr>
            <w:tcW w:w="1419"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≥2000人</w:t>
            </w:r>
          </w:p>
        </w:tc>
        <w:tc>
          <w:tcPr>
            <w:tcW w:w="1421"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2000人</w:t>
            </w:r>
          </w:p>
        </w:tc>
      </w:tr>
      <w:tr>
        <w:tblPrEx>
          <w:tblCellMar>
            <w:top w:w="0" w:type="dxa"/>
            <w:left w:w="108" w:type="dxa"/>
            <w:bottom w:w="0" w:type="dxa"/>
            <w:right w:w="108" w:type="dxa"/>
          </w:tblCellMar>
        </w:tblPrEx>
        <w:trPr>
          <w:trHeight w:val="698" w:hRule="atLeast"/>
        </w:trPr>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color w:val="000000"/>
                <w:sz w:val="24"/>
              </w:rPr>
            </w:pPr>
          </w:p>
        </w:tc>
        <w:tc>
          <w:tcPr>
            <w:tcW w:w="134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rPr>
            </w:pPr>
          </w:p>
        </w:tc>
        <w:tc>
          <w:tcPr>
            <w:tcW w:w="2001" w:type="dxa"/>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ascii="宋体" w:hAnsi="宋体" w:eastAsia="宋体" w:cs="宋体"/>
                <w:color w:val="000000"/>
                <w:sz w:val="24"/>
              </w:rPr>
            </w:pPr>
          </w:p>
        </w:tc>
        <w:tc>
          <w:tcPr>
            <w:tcW w:w="28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保障在职工资人数</w:t>
            </w:r>
          </w:p>
        </w:tc>
        <w:tc>
          <w:tcPr>
            <w:tcW w:w="1419"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≥15人</w:t>
            </w:r>
          </w:p>
        </w:tc>
        <w:tc>
          <w:tcPr>
            <w:tcW w:w="1421"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15人</w:t>
            </w:r>
          </w:p>
        </w:tc>
      </w:tr>
      <w:tr>
        <w:tblPrEx>
          <w:tblCellMar>
            <w:top w:w="0" w:type="dxa"/>
            <w:left w:w="108" w:type="dxa"/>
            <w:bottom w:w="0" w:type="dxa"/>
            <w:right w:w="108" w:type="dxa"/>
          </w:tblCellMar>
        </w:tblPrEx>
        <w:trPr>
          <w:trHeight w:val="698" w:hRule="atLeast"/>
        </w:trPr>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color w:val="000000"/>
                <w:sz w:val="24"/>
              </w:rPr>
            </w:pPr>
          </w:p>
        </w:tc>
        <w:tc>
          <w:tcPr>
            <w:tcW w:w="134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rPr>
            </w:pPr>
          </w:p>
        </w:tc>
        <w:tc>
          <w:tcPr>
            <w:tcW w:w="2001" w:type="dxa"/>
            <w:tcBorders>
              <w:top w:val="single" w:color="000000" w:sz="4" w:space="0"/>
              <w:left w:val="single" w:color="000000" w:sz="4" w:space="0"/>
              <w:bottom w:val="nil"/>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质量指标</w:t>
            </w:r>
          </w:p>
        </w:tc>
        <w:tc>
          <w:tcPr>
            <w:tcW w:w="28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人员工资及社保发放准确率</w:t>
            </w:r>
          </w:p>
        </w:tc>
        <w:tc>
          <w:tcPr>
            <w:tcW w:w="1419"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=100%</w:t>
            </w:r>
          </w:p>
        </w:tc>
        <w:tc>
          <w:tcPr>
            <w:tcW w:w="1421"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100%</w:t>
            </w:r>
          </w:p>
        </w:tc>
      </w:tr>
      <w:tr>
        <w:tblPrEx>
          <w:tblCellMar>
            <w:top w:w="0" w:type="dxa"/>
            <w:left w:w="108" w:type="dxa"/>
            <w:bottom w:w="0" w:type="dxa"/>
            <w:right w:w="108" w:type="dxa"/>
          </w:tblCellMar>
        </w:tblPrEx>
        <w:trPr>
          <w:trHeight w:val="698" w:hRule="atLeast"/>
        </w:trPr>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color w:val="000000"/>
                <w:sz w:val="24"/>
              </w:rPr>
            </w:pPr>
          </w:p>
        </w:tc>
        <w:tc>
          <w:tcPr>
            <w:tcW w:w="134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rPr>
            </w:pPr>
          </w:p>
        </w:tc>
        <w:tc>
          <w:tcPr>
            <w:tcW w:w="2001"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时效指标</w:t>
            </w:r>
          </w:p>
        </w:tc>
        <w:tc>
          <w:tcPr>
            <w:tcW w:w="28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人员工资及社保发放及时性</w:t>
            </w:r>
          </w:p>
        </w:tc>
        <w:tc>
          <w:tcPr>
            <w:tcW w:w="1419"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=100%</w:t>
            </w:r>
          </w:p>
        </w:tc>
        <w:tc>
          <w:tcPr>
            <w:tcW w:w="1421"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100%</w:t>
            </w:r>
          </w:p>
        </w:tc>
      </w:tr>
      <w:tr>
        <w:tblPrEx>
          <w:tblCellMar>
            <w:top w:w="0" w:type="dxa"/>
            <w:left w:w="108" w:type="dxa"/>
            <w:bottom w:w="0" w:type="dxa"/>
            <w:right w:w="108" w:type="dxa"/>
          </w:tblCellMar>
        </w:tblPrEx>
        <w:trPr>
          <w:trHeight w:val="698" w:hRule="atLeast"/>
        </w:trPr>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color w:val="000000"/>
                <w:sz w:val="24"/>
              </w:rPr>
            </w:pPr>
          </w:p>
        </w:tc>
        <w:tc>
          <w:tcPr>
            <w:tcW w:w="134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rPr>
            </w:pPr>
          </w:p>
        </w:tc>
        <w:tc>
          <w:tcPr>
            <w:tcW w:w="20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rPr>
            </w:pPr>
          </w:p>
        </w:tc>
        <w:tc>
          <w:tcPr>
            <w:tcW w:w="28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公用经费支付及时性</w:t>
            </w:r>
          </w:p>
        </w:tc>
        <w:tc>
          <w:tcPr>
            <w:tcW w:w="1419"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=100%</w:t>
            </w:r>
          </w:p>
        </w:tc>
        <w:tc>
          <w:tcPr>
            <w:tcW w:w="1421"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100%</w:t>
            </w:r>
          </w:p>
        </w:tc>
      </w:tr>
      <w:tr>
        <w:tblPrEx>
          <w:tblCellMar>
            <w:top w:w="0" w:type="dxa"/>
            <w:left w:w="108" w:type="dxa"/>
            <w:bottom w:w="0" w:type="dxa"/>
            <w:right w:w="108" w:type="dxa"/>
          </w:tblCellMar>
        </w:tblPrEx>
        <w:trPr>
          <w:trHeight w:val="698" w:hRule="atLeast"/>
        </w:trPr>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color w:val="000000"/>
                <w:sz w:val="24"/>
              </w:rPr>
            </w:pPr>
          </w:p>
        </w:tc>
        <w:tc>
          <w:tcPr>
            <w:tcW w:w="134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rPr>
            </w:pPr>
          </w:p>
        </w:tc>
        <w:tc>
          <w:tcPr>
            <w:tcW w:w="2001"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成本指标</w:t>
            </w:r>
          </w:p>
        </w:tc>
        <w:tc>
          <w:tcPr>
            <w:tcW w:w="28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在职人员人均工资、社保、住房</w:t>
            </w:r>
          </w:p>
        </w:tc>
        <w:tc>
          <w:tcPr>
            <w:tcW w:w="1419"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≤115816.63元/人/年</w:t>
            </w:r>
          </w:p>
        </w:tc>
        <w:tc>
          <w:tcPr>
            <w:tcW w:w="1421"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115816.63元/人/年</w:t>
            </w:r>
          </w:p>
        </w:tc>
      </w:tr>
      <w:tr>
        <w:tblPrEx>
          <w:tblCellMar>
            <w:top w:w="0" w:type="dxa"/>
            <w:left w:w="108" w:type="dxa"/>
            <w:bottom w:w="0" w:type="dxa"/>
            <w:right w:w="108" w:type="dxa"/>
          </w:tblCellMar>
        </w:tblPrEx>
        <w:trPr>
          <w:trHeight w:val="698" w:hRule="atLeast"/>
        </w:trPr>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color w:val="000000"/>
                <w:sz w:val="24"/>
              </w:rPr>
            </w:pPr>
          </w:p>
        </w:tc>
        <w:tc>
          <w:tcPr>
            <w:tcW w:w="134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rPr>
            </w:pPr>
          </w:p>
        </w:tc>
        <w:tc>
          <w:tcPr>
            <w:tcW w:w="20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rPr>
            </w:pPr>
          </w:p>
        </w:tc>
        <w:tc>
          <w:tcPr>
            <w:tcW w:w="28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取暖费</w:t>
            </w:r>
          </w:p>
        </w:tc>
        <w:tc>
          <w:tcPr>
            <w:tcW w:w="1419"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≤1300元/人/年</w:t>
            </w:r>
          </w:p>
        </w:tc>
        <w:tc>
          <w:tcPr>
            <w:tcW w:w="1421"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1300元/人/年</w:t>
            </w:r>
          </w:p>
        </w:tc>
      </w:tr>
      <w:tr>
        <w:tblPrEx>
          <w:tblCellMar>
            <w:top w:w="0" w:type="dxa"/>
            <w:left w:w="108" w:type="dxa"/>
            <w:bottom w:w="0" w:type="dxa"/>
            <w:right w:w="108" w:type="dxa"/>
          </w:tblCellMar>
        </w:tblPrEx>
        <w:trPr>
          <w:trHeight w:val="698" w:hRule="atLeast"/>
        </w:trPr>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color w:val="000000"/>
                <w:sz w:val="24"/>
              </w:rPr>
            </w:pPr>
          </w:p>
        </w:tc>
        <w:tc>
          <w:tcPr>
            <w:tcW w:w="1342" w:type="dxa"/>
            <w:vMerge w:val="restart"/>
            <w:tcBorders>
              <w:top w:val="nil"/>
              <w:left w:val="single" w:color="000000" w:sz="4" w:space="0"/>
              <w:bottom w:val="nil"/>
              <w:right w:val="single" w:color="000000" w:sz="4" w:space="0"/>
            </w:tcBorders>
            <w:shd w:val="clear" w:color="auto" w:fill="auto"/>
            <w:noWrap/>
            <w:vAlign w:val="center"/>
          </w:tcPr>
          <w:p>
            <w:pPr>
              <w:jc w:val="center"/>
              <w:rPr>
                <w:rFonts w:ascii="宋体" w:hAnsi="宋体" w:eastAsia="宋体" w:cs="宋体"/>
                <w:color w:val="000000"/>
                <w:sz w:val="24"/>
              </w:rPr>
            </w:pPr>
          </w:p>
        </w:tc>
        <w:tc>
          <w:tcPr>
            <w:tcW w:w="2001"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社会效益指标</w:t>
            </w:r>
          </w:p>
        </w:tc>
        <w:tc>
          <w:tcPr>
            <w:tcW w:w="28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保证培训任务及时完成</w:t>
            </w:r>
          </w:p>
        </w:tc>
        <w:tc>
          <w:tcPr>
            <w:tcW w:w="1419"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有效保证</w:t>
            </w:r>
          </w:p>
        </w:tc>
        <w:tc>
          <w:tcPr>
            <w:tcW w:w="1421"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有效保证</w:t>
            </w:r>
          </w:p>
        </w:tc>
      </w:tr>
      <w:tr>
        <w:tblPrEx>
          <w:tblCellMar>
            <w:top w:w="0" w:type="dxa"/>
            <w:left w:w="108" w:type="dxa"/>
            <w:bottom w:w="0" w:type="dxa"/>
            <w:right w:w="108" w:type="dxa"/>
          </w:tblCellMar>
        </w:tblPrEx>
        <w:trPr>
          <w:trHeight w:val="698" w:hRule="atLeast"/>
        </w:trPr>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color w:val="000000"/>
                <w:sz w:val="24"/>
              </w:rPr>
            </w:pPr>
          </w:p>
        </w:tc>
        <w:tc>
          <w:tcPr>
            <w:tcW w:w="1342" w:type="dxa"/>
            <w:vMerge w:val="continue"/>
            <w:tcBorders>
              <w:top w:val="nil"/>
              <w:left w:val="single" w:color="000000" w:sz="4" w:space="0"/>
              <w:bottom w:val="nil"/>
              <w:right w:val="single" w:color="000000" w:sz="4" w:space="0"/>
            </w:tcBorders>
            <w:shd w:val="clear" w:color="auto" w:fill="auto"/>
            <w:noWrap/>
            <w:vAlign w:val="center"/>
          </w:tcPr>
          <w:p>
            <w:pPr>
              <w:jc w:val="center"/>
              <w:rPr>
                <w:rFonts w:ascii="宋体" w:hAnsi="宋体" w:eastAsia="宋体" w:cs="宋体"/>
                <w:color w:val="000000"/>
                <w:sz w:val="24"/>
              </w:rPr>
            </w:pPr>
          </w:p>
        </w:tc>
        <w:tc>
          <w:tcPr>
            <w:tcW w:w="20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rPr>
            </w:pPr>
          </w:p>
        </w:tc>
        <w:tc>
          <w:tcPr>
            <w:tcW w:w="28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保证教师队伍稳定</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有效保证</w:t>
            </w:r>
          </w:p>
        </w:tc>
        <w:tc>
          <w:tcPr>
            <w:tcW w:w="1421"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有效保证</w:t>
            </w:r>
          </w:p>
        </w:tc>
      </w:tr>
      <w:tr>
        <w:tblPrEx>
          <w:tblCellMar>
            <w:top w:w="0" w:type="dxa"/>
            <w:left w:w="108" w:type="dxa"/>
            <w:bottom w:w="0" w:type="dxa"/>
            <w:right w:w="108" w:type="dxa"/>
          </w:tblCellMar>
        </w:tblPrEx>
        <w:trPr>
          <w:trHeight w:val="698" w:hRule="atLeast"/>
        </w:trPr>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color w:val="000000"/>
                <w:sz w:val="24"/>
              </w:rPr>
            </w:pPr>
          </w:p>
        </w:tc>
        <w:tc>
          <w:tcPr>
            <w:tcW w:w="134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2001"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28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干部职工满意度</w:t>
            </w:r>
          </w:p>
        </w:tc>
        <w:tc>
          <w:tcPr>
            <w:tcW w:w="1419"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≥90%</w:t>
            </w:r>
          </w:p>
        </w:tc>
        <w:tc>
          <w:tcPr>
            <w:tcW w:w="1421"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90%</w:t>
            </w:r>
          </w:p>
        </w:tc>
      </w:tr>
      <w:tr>
        <w:tblPrEx>
          <w:tblCellMar>
            <w:top w:w="0" w:type="dxa"/>
            <w:left w:w="108" w:type="dxa"/>
            <w:bottom w:w="0" w:type="dxa"/>
            <w:right w:w="108" w:type="dxa"/>
          </w:tblCellMar>
        </w:tblPrEx>
        <w:trPr>
          <w:trHeight w:val="698" w:hRule="atLeast"/>
        </w:trPr>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color w:val="000000"/>
                <w:sz w:val="24"/>
              </w:rPr>
            </w:pPr>
          </w:p>
        </w:tc>
        <w:tc>
          <w:tcPr>
            <w:tcW w:w="134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rPr>
            </w:pPr>
          </w:p>
        </w:tc>
        <w:tc>
          <w:tcPr>
            <w:tcW w:w="20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rPr>
            </w:pPr>
          </w:p>
        </w:tc>
        <w:tc>
          <w:tcPr>
            <w:tcW w:w="28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相关部门的满意度</w:t>
            </w:r>
          </w:p>
        </w:tc>
        <w:tc>
          <w:tcPr>
            <w:tcW w:w="1419"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≥93%</w:t>
            </w:r>
          </w:p>
        </w:tc>
        <w:tc>
          <w:tcPr>
            <w:tcW w:w="1421"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93%</w:t>
            </w:r>
          </w:p>
        </w:tc>
      </w:tr>
    </w:tbl>
    <w:p>
      <w:pPr>
        <w:rPr>
          <w:rFonts w:ascii="仿宋" w:hAnsi="仿宋" w:eastAsia="仿宋" w:cs="宋体"/>
          <w:color w:val="333333"/>
          <w:sz w:val="32"/>
          <w:szCs w:val="32"/>
        </w:rPr>
      </w:pP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sdtPr>
    <w:sdtEndPr>
      <w:rPr>
        <w:rFonts w:asciiTheme="minorEastAsia" w:hAnsiTheme="minorEastAsia"/>
        <w:sz w:val="28"/>
        <w:szCs w:val="28"/>
      </w:rPr>
    </w:sdtEndPr>
    <w:sdtContent>
      <w:p>
        <w:pPr>
          <w:pStyle w:val="10"/>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16 -</w:t>
        </w:r>
        <w:r>
          <w:rPr>
            <w:rFonts w:asciiTheme="minorEastAsia" w:hAnsiTheme="minorEastAsia"/>
            <w:sz w:val="28"/>
            <w:szCs w:val="28"/>
          </w:rPr>
          <w:fldChar w:fldCharType="end"/>
        </w:r>
      </w:p>
    </w:sdtContent>
  </w:sdt>
  <w:p>
    <w:pPr>
      <w:pStyle w:val="1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301ECF"/>
    <w:multiLevelType w:val="singleLevel"/>
    <w:tmpl w:val="DE301ECF"/>
    <w:lvl w:ilvl="0" w:tentative="0">
      <w:start w:val="1"/>
      <w:numFmt w:val="decimal"/>
      <w:suff w:val="nothing"/>
      <w:lvlText w:val="（%1）"/>
      <w:lvlJc w:val="left"/>
    </w:lvl>
  </w:abstractNum>
  <w:abstractNum w:abstractNumId="1">
    <w:nsid w:val="43587485"/>
    <w:multiLevelType w:val="singleLevel"/>
    <w:tmpl w:val="43587485"/>
    <w:lvl w:ilvl="0" w:tentative="0">
      <w:start w:val="3"/>
      <w:numFmt w:val="decimal"/>
      <w:suff w:val="nothing"/>
      <w:lvlText w:val="%1、"/>
      <w:lvlJc w:val="left"/>
    </w:lvl>
  </w:abstractNum>
  <w:abstractNum w:abstractNumId="2">
    <w:nsid w:val="5CA38EC6"/>
    <w:multiLevelType w:val="singleLevel"/>
    <w:tmpl w:val="5CA38EC6"/>
    <w:lvl w:ilvl="0" w:tentative="0">
      <w:start w:val="1"/>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4ZjMzZTkxMDUzOWUwYzQ4OTViM2UwODBmYmY3N2QifQ=="/>
  </w:docVars>
  <w:rsids>
    <w:rsidRoot w:val="00633862"/>
    <w:rsid w:val="00001D14"/>
    <w:rsid w:val="00025A44"/>
    <w:rsid w:val="00072084"/>
    <w:rsid w:val="0009422A"/>
    <w:rsid w:val="000B6B13"/>
    <w:rsid w:val="000C0030"/>
    <w:rsid w:val="000D1DEE"/>
    <w:rsid w:val="000D3AFA"/>
    <w:rsid w:val="00100CF6"/>
    <w:rsid w:val="00105D60"/>
    <w:rsid w:val="001121F2"/>
    <w:rsid w:val="00112859"/>
    <w:rsid w:val="001173EB"/>
    <w:rsid w:val="00150C4C"/>
    <w:rsid w:val="001837B5"/>
    <w:rsid w:val="00191BA3"/>
    <w:rsid w:val="001A2299"/>
    <w:rsid w:val="001A3A0E"/>
    <w:rsid w:val="001F630E"/>
    <w:rsid w:val="0022744B"/>
    <w:rsid w:val="00234372"/>
    <w:rsid w:val="00234B37"/>
    <w:rsid w:val="00246941"/>
    <w:rsid w:val="002764C7"/>
    <w:rsid w:val="0028010A"/>
    <w:rsid w:val="002D075E"/>
    <w:rsid w:val="00303A08"/>
    <w:rsid w:val="003226C4"/>
    <w:rsid w:val="003E3DEF"/>
    <w:rsid w:val="003E7C70"/>
    <w:rsid w:val="0049337C"/>
    <w:rsid w:val="004C4C4D"/>
    <w:rsid w:val="004C6FF3"/>
    <w:rsid w:val="004E69F5"/>
    <w:rsid w:val="004E7AAC"/>
    <w:rsid w:val="00531A31"/>
    <w:rsid w:val="00533C6C"/>
    <w:rsid w:val="00593943"/>
    <w:rsid w:val="005A08A8"/>
    <w:rsid w:val="005B1250"/>
    <w:rsid w:val="005C33CE"/>
    <w:rsid w:val="006225D7"/>
    <w:rsid w:val="00633862"/>
    <w:rsid w:val="006379B7"/>
    <w:rsid w:val="006413B6"/>
    <w:rsid w:val="006910A7"/>
    <w:rsid w:val="00691310"/>
    <w:rsid w:val="006A2C1B"/>
    <w:rsid w:val="006A7181"/>
    <w:rsid w:val="006C5BED"/>
    <w:rsid w:val="006D3947"/>
    <w:rsid w:val="006F2E34"/>
    <w:rsid w:val="00702D4A"/>
    <w:rsid w:val="007115C8"/>
    <w:rsid w:val="00713ADC"/>
    <w:rsid w:val="00725B9A"/>
    <w:rsid w:val="00754721"/>
    <w:rsid w:val="007713F8"/>
    <w:rsid w:val="007A7491"/>
    <w:rsid w:val="007A7874"/>
    <w:rsid w:val="007D167C"/>
    <w:rsid w:val="007F427D"/>
    <w:rsid w:val="00800784"/>
    <w:rsid w:val="00817432"/>
    <w:rsid w:val="008614D8"/>
    <w:rsid w:val="00875327"/>
    <w:rsid w:val="00886879"/>
    <w:rsid w:val="00890FC2"/>
    <w:rsid w:val="008E3F8A"/>
    <w:rsid w:val="00923468"/>
    <w:rsid w:val="00952782"/>
    <w:rsid w:val="0095580D"/>
    <w:rsid w:val="0097614B"/>
    <w:rsid w:val="00992D45"/>
    <w:rsid w:val="009A1625"/>
    <w:rsid w:val="009E5FF8"/>
    <w:rsid w:val="009F06F4"/>
    <w:rsid w:val="00A05135"/>
    <w:rsid w:val="00A43D21"/>
    <w:rsid w:val="00A55238"/>
    <w:rsid w:val="00AA5126"/>
    <w:rsid w:val="00AC4471"/>
    <w:rsid w:val="00AD16CD"/>
    <w:rsid w:val="00AF42EB"/>
    <w:rsid w:val="00B130FE"/>
    <w:rsid w:val="00B33A2C"/>
    <w:rsid w:val="00B34A48"/>
    <w:rsid w:val="00B407C3"/>
    <w:rsid w:val="00B666A1"/>
    <w:rsid w:val="00BA1454"/>
    <w:rsid w:val="00BD6F8B"/>
    <w:rsid w:val="00C42609"/>
    <w:rsid w:val="00C4673D"/>
    <w:rsid w:val="00C76454"/>
    <w:rsid w:val="00C81F75"/>
    <w:rsid w:val="00CB1C9D"/>
    <w:rsid w:val="00CC7606"/>
    <w:rsid w:val="00CD2F35"/>
    <w:rsid w:val="00CE16E7"/>
    <w:rsid w:val="00CE61DB"/>
    <w:rsid w:val="00D26F3D"/>
    <w:rsid w:val="00D278CF"/>
    <w:rsid w:val="00D77626"/>
    <w:rsid w:val="00D81EE2"/>
    <w:rsid w:val="00DA67B8"/>
    <w:rsid w:val="00DB1085"/>
    <w:rsid w:val="00DD223C"/>
    <w:rsid w:val="00E213C7"/>
    <w:rsid w:val="00E41A31"/>
    <w:rsid w:val="00E7188B"/>
    <w:rsid w:val="00F006BD"/>
    <w:rsid w:val="00F17550"/>
    <w:rsid w:val="00F27120"/>
    <w:rsid w:val="00F341E0"/>
    <w:rsid w:val="00F36401"/>
    <w:rsid w:val="00F42445"/>
    <w:rsid w:val="00F44FCC"/>
    <w:rsid w:val="00F56207"/>
    <w:rsid w:val="00F74974"/>
    <w:rsid w:val="00F829DE"/>
    <w:rsid w:val="00F84215"/>
    <w:rsid w:val="00F91CBB"/>
    <w:rsid w:val="0E9A5E97"/>
    <w:rsid w:val="11884ED6"/>
    <w:rsid w:val="16710973"/>
    <w:rsid w:val="1B5C3EDD"/>
    <w:rsid w:val="1E194452"/>
    <w:rsid w:val="1EB60E4D"/>
    <w:rsid w:val="23F46A2B"/>
    <w:rsid w:val="24EE0FD1"/>
    <w:rsid w:val="45BB6EC0"/>
    <w:rsid w:val="4CEC3EE9"/>
    <w:rsid w:val="52785C2E"/>
    <w:rsid w:val="55434CBD"/>
    <w:rsid w:val="59833CBC"/>
    <w:rsid w:val="622077CA"/>
    <w:rsid w:val="648B0216"/>
    <w:rsid w:val="6EE15151"/>
    <w:rsid w:val="782468ED"/>
    <w:rsid w:val="7AB47C5F"/>
    <w:rsid w:val="7BFD1A28"/>
    <w:rsid w:val="7CF42043"/>
    <w:rsid w:val="7D5646A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link w:val="29"/>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2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3"/>
    <w:basedOn w:val="1"/>
    <w:next w:val="1"/>
    <w:link w:val="27"/>
    <w:unhideWhenUsed/>
    <w:qFormat/>
    <w:uiPriority w:val="9"/>
    <w:pPr>
      <w:keepNext/>
      <w:keepLines/>
      <w:spacing w:before="260" w:after="260" w:line="416" w:lineRule="auto"/>
      <w:outlineLvl w:val="2"/>
    </w:pPr>
    <w:rPr>
      <w:b/>
      <w:bCs/>
      <w:sz w:val="32"/>
      <w:szCs w:val="32"/>
    </w:rPr>
  </w:style>
  <w:style w:type="paragraph" w:styleId="7">
    <w:name w:val="heading 4"/>
    <w:basedOn w:val="1"/>
    <w:next w:val="1"/>
    <w:link w:val="31"/>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8">
    <w:name w:val="Default Paragraph Font"/>
    <w:semiHidden/>
    <w:unhideWhenUsed/>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99"/>
    <w:pPr>
      <w:spacing w:before="100" w:beforeAutospacing="1"/>
      <w:ind w:left="0" w:firstLine="420" w:firstLineChars="200"/>
    </w:pPr>
  </w:style>
  <w:style w:type="paragraph" w:styleId="3">
    <w:name w:val="Body Text Indent"/>
    <w:basedOn w:val="1"/>
    <w:unhideWhenUsed/>
    <w:qFormat/>
    <w:uiPriority w:val="99"/>
    <w:pPr>
      <w:spacing w:after="120"/>
      <w:ind w:left="420" w:leftChars="200"/>
    </w:pPr>
  </w:style>
  <w:style w:type="paragraph" w:styleId="8">
    <w:name w:val="toc 3"/>
    <w:basedOn w:val="1"/>
    <w:next w:val="1"/>
    <w:unhideWhenUsed/>
    <w:qFormat/>
    <w:uiPriority w:val="39"/>
    <w:pPr>
      <w:ind w:left="840" w:leftChars="400"/>
    </w:pPr>
  </w:style>
  <w:style w:type="paragraph" w:styleId="9">
    <w:name w:val="Balloon Text"/>
    <w:basedOn w:val="1"/>
    <w:link w:val="33"/>
    <w:semiHidden/>
    <w:unhideWhenUsed/>
    <w:qFormat/>
    <w:uiPriority w:val="99"/>
    <w:rPr>
      <w:sz w:val="18"/>
      <w:szCs w:val="18"/>
    </w:rPr>
  </w:style>
  <w:style w:type="paragraph" w:styleId="10">
    <w:name w:val="footer"/>
    <w:basedOn w:val="1"/>
    <w:link w:val="22"/>
    <w:unhideWhenUsed/>
    <w:qFormat/>
    <w:uiPriority w:val="99"/>
    <w:pPr>
      <w:tabs>
        <w:tab w:val="center" w:pos="4153"/>
        <w:tab w:val="right" w:pos="8306"/>
      </w:tabs>
      <w:snapToGrid w:val="0"/>
      <w:jc w:val="left"/>
    </w:pPr>
    <w:rPr>
      <w:sz w:val="18"/>
      <w:szCs w:val="18"/>
    </w:rPr>
  </w:style>
  <w:style w:type="paragraph" w:styleId="11">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oc 4"/>
    <w:basedOn w:val="1"/>
    <w:next w:val="1"/>
    <w:unhideWhenUsed/>
    <w:qFormat/>
    <w:uiPriority w:val="39"/>
    <w:pPr>
      <w:ind w:left="1260" w:leftChars="600"/>
    </w:pPr>
  </w:style>
  <w:style w:type="paragraph" w:styleId="13">
    <w:name w:val="Subtitle"/>
    <w:basedOn w:val="1"/>
    <w:next w:val="1"/>
    <w:link w:val="26"/>
    <w:qFormat/>
    <w:uiPriority w:val="11"/>
    <w:pPr>
      <w:spacing w:before="240" w:after="60" w:line="312" w:lineRule="auto"/>
      <w:jc w:val="center"/>
      <w:outlineLvl w:val="1"/>
    </w:pPr>
    <w:rPr>
      <w:b/>
      <w:bCs/>
      <w:kern w:val="28"/>
      <w:sz w:val="32"/>
      <w:szCs w:val="32"/>
    </w:rPr>
  </w:style>
  <w:style w:type="paragraph" w:styleId="14">
    <w:name w:val="toc 2"/>
    <w:basedOn w:val="1"/>
    <w:next w:val="1"/>
    <w:unhideWhenUsed/>
    <w:qFormat/>
    <w:uiPriority w:val="39"/>
    <w:pPr>
      <w:ind w:left="420" w:leftChars="200"/>
    </w:pPr>
  </w:style>
  <w:style w:type="paragraph" w:styleId="15">
    <w:name w:val="Normal (Web)"/>
    <w:basedOn w:val="1"/>
    <w:qFormat/>
    <w:uiPriority w:val="99"/>
    <w:pPr>
      <w:spacing w:before="100" w:beforeAutospacing="1" w:after="100" w:afterAutospacing="1"/>
      <w:jc w:val="left"/>
    </w:pPr>
    <w:rPr>
      <w:rFonts w:cs="Times New Roman"/>
      <w:sz w:val="24"/>
    </w:rPr>
  </w:style>
  <w:style w:type="paragraph" w:styleId="16">
    <w:name w:val="Title"/>
    <w:basedOn w:val="1"/>
    <w:next w:val="1"/>
    <w:link w:val="24"/>
    <w:qFormat/>
    <w:uiPriority w:val="10"/>
    <w:pPr>
      <w:spacing w:before="240" w:after="60"/>
      <w:jc w:val="center"/>
      <w:outlineLvl w:val="0"/>
    </w:pPr>
    <w:rPr>
      <w:rFonts w:asciiTheme="majorHAnsi" w:hAnsiTheme="majorHAnsi" w:eastAsiaTheme="majorEastAsia" w:cstheme="majorBidi"/>
      <w:b/>
      <w:bCs/>
      <w:sz w:val="32"/>
      <w:szCs w:val="32"/>
    </w:rPr>
  </w:style>
  <w:style w:type="character" w:styleId="19">
    <w:name w:val="Strong"/>
    <w:basedOn w:val="18"/>
    <w:qFormat/>
    <w:uiPriority w:val="0"/>
    <w:rPr>
      <w:b/>
      <w:bCs/>
    </w:rPr>
  </w:style>
  <w:style w:type="character" w:styleId="20">
    <w:name w:val="Hyperlink"/>
    <w:basedOn w:val="18"/>
    <w:unhideWhenUsed/>
    <w:qFormat/>
    <w:uiPriority w:val="99"/>
    <w:rPr>
      <w:color w:val="0000FF" w:themeColor="hyperlink"/>
      <w:u w:val="single"/>
    </w:rPr>
  </w:style>
  <w:style w:type="character" w:customStyle="1" w:styleId="21">
    <w:name w:val="页眉 Char"/>
    <w:basedOn w:val="18"/>
    <w:link w:val="11"/>
    <w:qFormat/>
    <w:uiPriority w:val="99"/>
    <w:rPr>
      <w:sz w:val="18"/>
      <w:szCs w:val="18"/>
    </w:rPr>
  </w:style>
  <w:style w:type="character" w:customStyle="1" w:styleId="22">
    <w:name w:val="页脚 Char"/>
    <w:basedOn w:val="18"/>
    <w:link w:val="10"/>
    <w:qFormat/>
    <w:uiPriority w:val="99"/>
    <w:rPr>
      <w:sz w:val="18"/>
      <w:szCs w:val="18"/>
    </w:rPr>
  </w:style>
  <w:style w:type="paragraph" w:styleId="23">
    <w:name w:val="List Paragraph"/>
    <w:basedOn w:val="1"/>
    <w:unhideWhenUsed/>
    <w:qFormat/>
    <w:uiPriority w:val="99"/>
    <w:pPr>
      <w:ind w:firstLine="420" w:firstLineChars="200"/>
    </w:pPr>
  </w:style>
  <w:style w:type="character" w:customStyle="1" w:styleId="24">
    <w:name w:val="标题 Char"/>
    <w:basedOn w:val="18"/>
    <w:link w:val="16"/>
    <w:qFormat/>
    <w:uiPriority w:val="10"/>
    <w:rPr>
      <w:rFonts w:asciiTheme="majorHAnsi" w:hAnsiTheme="majorHAnsi" w:eastAsiaTheme="majorEastAsia" w:cstheme="majorBidi"/>
      <w:b/>
      <w:bCs/>
      <w:sz w:val="32"/>
      <w:szCs w:val="32"/>
    </w:rPr>
  </w:style>
  <w:style w:type="character" w:customStyle="1" w:styleId="25">
    <w:name w:val="标题 2 Char"/>
    <w:basedOn w:val="18"/>
    <w:link w:val="5"/>
    <w:qFormat/>
    <w:uiPriority w:val="9"/>
    <w:rPr>
      <w:rFonts w:asciiTheme="majorHAnsi" w:hAnsiTheme="majorHAnsi" w:eastAsiaTheme="majorEastAsia" w:cstheme="majorBidi"/>
      <w:b/>
      <w:bCs/>
      <w:sz w:val="32"/>
      <w:szCs w:val="32"/>
    </w:rPr>
  </w:style>
  <w:style w:type="character" w:customStyle="1" w:styleId="26">
    <w:name w:val="副标题 Char"/>
    <w:basedOn w:val="18"/>
    <w:link w:val="13"/>
    <w:qFormat/>
    <w:uiPriority w:val="11"/>
    <w:rPr>
      <w:b/>
      <w:bCs/>
      <w:kern w:val="28"/>
      <w:sz w:val="32"/>
      <w:szCs w:val="32"/>
    </w:rPr>
  </w:style>
  <w:style w:type="character" w:customStyle="1" w:styleId="27">
    <w:name w:val="标题 3 Char"/>
    <w:basedOn w:val="18"/>
    <w:link w:val="6"/>
    <w:qFormat/>
    <w:uiPriority w:val="9"/>
    <w:rPr>
      <w:b/>
      <w:bCs/>
      <w:sz w:val="32"/>
      <w:szCs w:val="32"/>
    </w:rPr>
  </w:style>
  <w:style w:type="character" w:styleId="28">
    <w:name w:val="Placeholder Text"/>
    <w:basedOn w:val="18"/>
    <w:semiHidden/>
    <w:qFormat/>
    <w:uiPriority w:val="99"/>
    <w:rPr>
      <w:color w:val="808080"/>
    </w:rPr>
  </w:style>
  <w:style w:type="character" w:customStyle="1" w:styleId="29">
    <w:name w:val="标题 1 Char"/>
    <w:basedOn w:val="18"/>
    <w:link w:val="4"/>
    <w:qFormat/>
    <w:uiPriority w:val="9"/>
    <w:rPr>
      <w:b/>
      <w:bCs/>
      <w:kern w:val="44"/>
      <w:sz w:val="44"/>
      <w:szCs w:val="44"/>
    </w:rPr>
  </w:style>
  <w:style w:type="paragraph" w:customStyle="1" w:styleId="30">
    <w:name w:val="TOC 标题1"/>
    <w:basedOn w:val="4"/>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66091" w:themeColor="accent1" w:themeShade="BF"/>
      <w:kern w:val="0"/>
      <w:sz w:val="32"/>
      <w:szCs w:val="32"/>
    </w:rPr>
  </w:style>
  <w:style w:type="character" w:customStyle="1" w:styleId="31">
    <w:name w:val="标题 4 Char"/>
    <w:basedOn w:val="18"/>
    <w:link w:val="7"/>
    <w:qFormat/>
    <w:uiPriority w:val="9"/>
    <w:rPr>
      <w:rFonts w:asciiTheme="majorHAnsi" w:hAnsiTheme="majorHAnsi" w:eastAsiaTheme="majorEastAsia" w:cstheme="majorBidi"/>
      <w:b/>
      <w:bCs/>
      <w:sz w:val="28"/>
      <w:szCs w:val="28"/>
    </w:rPr>
  </w:style>
  <w:style w:type="paragraph" w:customStyle="1" w:styleId="32">
    <w:name w:val="闻政-正文段落文字"/>
    <w:basedOn w:val="1"/>
    <w:qFormat/>
    <w:uiPriority w:val="3"/>
    <w:pPr>
      <w:spacing w:line="500" w:lineRule="exact"/>
      <w:ind w:firstLine="200"/>
    </w:pPr>
    <w:rPr>
      <w:rFonts w:ascii="Times New Roman" w:hAnsi="Times New Roman" w:cs="Times New Roman"/>
      <w:szCs w:val="28"/>
    </w:rPr>
  </w:style>
  <w:style w:type="character" w:customStyle="1" w:styleId="33">
    <w:name w:val="批注框文本 Char"/>
    <w:basedOn w:val="18"/>
    <w:link w:val="9"/>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A96EF2-D354-4132-ACEB-FD7A99432895}">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16</Pages>
  <Words>6148</Words>
  <Characters>6679</Characters>
  <Lines>8</Lines>
  <Paragraphs>14</Paragraphs>
  <TotalTime>18</TotalTime>
  <ScaleCrop>false</ScaleCrop>
  <LinksUpToDate>false</LinksUpToDate>
  <CharactersWithSpaces>6762</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2022-04-25T05:28:00Z</dcterms:created>
  <dc:creator>jc</dc:creator>
  <cp:lastModifiedBy>123</cp:lastModifiedBy>
  <dcterms:modified xsi:type="dcterms:W3CDTF">2022-05-24T12:47:39Z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378F44EF1B414D1C9E8E4915D559FAD1</vt:lpwstr>
  </property>
</Properties>
</file>